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C791" w14:textId="4E3B8CED" w:rsidR="00AC102C" w:rsidRPr="00B91B7E" w:rsidRDefault="00AC102C" w:rsidP="00AC102C">
      <w:pPr>
        <w:tabs>
          <w:tab w:val="center" w:pos="4536"/>
          <w:tab w:val="right" w:pos="8280"/>
          <w:tab w:val="right" w:pos="9639"/>
        </w:tabs>
        <w:overflowPunct/>
        <w:autoSpaceDE/>
        <w:autoSpaceDN/>
        <w:adjustRightInd/>
        <w:spacing w:after="0"/>
        <w:ind w:right="2"/>
        <w:textAlignment w:val="auto"/>
        <w:rPr>
          <w:rFonts w:eastAsia="Batang"/>
          <w:b/>
          <w:bCs/>
          <w:sz w:val="28"/>
          <w:szCs w:val="24"/>
        </w:rPr>
      </w:pPr>
      <w:r w:rsidRPr="00B91B7E">
        <w:rPr>
          <w:rFonts w:eastAsia="Batang"/>
          <w:b/>
          <w:bCs/>
          <w:sz w:val="28"/>
          <w:szCs w:val="24"/>
        </w:rPr>
        <w:t>3GPP TSG RAN WG1 #</w:t>
      </w:r>
      <w:r w:rsidR="00E22FD1" w:rsidRPr="00B91B7E">
        <w:rPr>
          <w:rFonts w:eastAsia="Batang"/>
          <w:b/>
          <w:bCs/>
          <w:sz w:val="28"/>
          <w:szCs w:val="24"/>
        </w:rPr>
        <w:t>10</w:t>
      </w:r>
      <w:r w:rsidR="00E22FD1">
        <w:rPr>
          <w:rFonts w:eastAsia="Batang"/>
          <w:b/>
          <w:bCs/>
          <w:sz w:val="28"/>
          <w:szCs w:val="24"/>
        </w:rPr>
        <w:t>6</w:t>
      </w:r>
      <w:r w:rsidRPr="00B91B7E">
        <w:rPr>
          <w:rFonts w:eastAsia="Batang"/>
          <w:b/>
          <w:bCs/>
          <w:sz w:val="28"/>
          <w:szCs w:val="24"/>
        </w:rPr>
        <w:t>-e</w:t>
      </w:r>
      <w:r w:rsidRPr="00B91B7E">
        <w:rPr>
          <w:rFonts w:eastAsia="Batang"/>
          <w:b/>
          <w:bCs/>
          <w:sz w:val="28"/>
          <w:szCs w:val="24"/>
        </w:rPr>
        <w:tab/>
      </w:r>
      <w:r w:rsidRPr="00B91B7E">
        <w:rPr>
          <w:rFonts w:eastAsia="Batang"/>
          <w:b/>
          <w:bCs/>
          <w:sz w:val="28"/>
          <w:szCs w:val="24"/>
        </w:rPr>
        <w:tab/>
      </w:r>
      <w:r w:rsidR="001B269C" w:rsidRPr="00B91B7E">
        <w:rPr>
          <w:rFonts w:eastAsia="Batang"/>
          <w:b/>
          <w:bCs/>
          <w:sz w:val="28"/>
          <w:szCs w:val="24"/>
        </w:rPr>
        <w:t xml:space="preserve">   </w:t>
      </w:r>
      <w:r w:rsidRPr="00B91B7E">
        <w:rPr>
          <w:rFonts w:eastAsia="Batang"/>
          <w:b/>
          <w:bCs/>
          <w:sz w:val="28"/>
          <w:szCs w:val="24"/>
        </w:rPr>
        <w:tab/>
        <w:t>R1-</w:t>
      </w:r>
      <w:r w:rsidR="00E22FD1" w:rsidRPr="00B91B7E">
        <w:rPr>
          <w:rFonts w:eastAsia="Batang"/>
          <w:b/>
          <w:bCs/>
          <w:sz w:val="28"/>
          <w:szCs w:val="24"/>
        </w:rPr>
        <w:t>21</w:t>
      </w:r>
      <w:r w:rsidR="004B55EE">
        <w:rPr>
          <w:rFonts w:eastAsia="Batang"/>
          <w:b/>
          <w:bCs/>
          <w:sz w:val="28"/>
          <w:szCs w:val="24"/>
        </w:rPr>
        <w:t>06640</w:t>
      </w:r>
    </w:p>
    <w:p w14:paraId="249FC8BD" w14:textId="3FFD2D7D" w:rsidR="00AC102C" w:rsidRPr="00B91B7E" w:rsidRDefault="00AC102C" w:rsidP="00AC102C">
      <w:pPr>
        <w:tabs>
          <w:tab w:val="center" w:pos="4536"/>
          <w:tab w:val="right" w:pos="9072"/>
        </w:tabs>
        <w:overflowPunct/>
        <w:autoSpaceDE/>
        <w:autoSpaceDN/>
        <w:adjustRightInd/>
        <w:spacing w:after="0"/>
        <w:textAlignment w:val="auto"/>
        <w:rPr>
          <w:rFonts w:eastAsia="MS Mincho"/>
          <w:b/>
          <w:bCs/>
          <w:sz w:val="28"/>
          <w:szCs w:val="24"/>
          <w:lang w:eastAsia="ja-JP"/>
        </w:rPr>
      </w:pPr>
      <w:r w:rsidRPr="00B91B7E">
        <w:rPr>
          <w:rFonts w:eastAsia="MS Mincho"/>
          <w:b/>
          <w:bCs/>
          <w:sz w:val="28"/>
          <w:szCs w:val="24"/>
          <w:lang w:eastAsia="ja-JP"/>
        </w:rPr>
        <w:t xml:space="preserve">e-Meeting, </w:t>
      </w:r>
      <w:r w:rsidR="00E22FD1">
        <w:rPr>
          <w:rFonts w:eastAsia="MS Mincho"/>
          <w:b/>
          <w:bCs/>
          <w:sz w:val="28"/>
          <w:szCs w:val="24"/>
          <w:lang w:eastAsia="ja-JP"/>
        </w:rPr>
        <w:t xml:space="preserve">August </w:t>
      </w:r>
      <w:r w:rsidR="00392ACD">
        <w:rPr>
          <w:rFonts w:eastAsia="MS Mincho"/>
          <w:b/>
          <w:bCs/>
          <w:sz w:val="28"/>
          <w:szCs w:val="24"/>
          <w:lang w:eastAsia="ja-JP"/>
        </w:rPr>
        <w:t>1</w:t>
      </w:r>
      <w:r w:rsidR="00E22FD1">
        <w:rPr>
          <w:rFonts w:eastAsia="MS Mincho"/>
          <w:b/>
          <w:bCs/>
          <w:sz w:val="28"/>
          <w:szCs w:val="24"/>
          <w:lang w:eastAsia="ja-JP"/>
        </w:rPr>
        <w:t>6</w:t>
      </w:r>
      <w:r w:rsidR="00392ACD" w:rsidRPr="00B91B7E">
        <w:rPr>
          <w:rFonts w:eastAsia="MS Mincho"/>
          <w:b/>
          <w:bCs/>
          <w:sz w:val="28"/>
          <w:szCs w:val="24"/>
          <w:vertAlign w:val="superscript"/>
          <w:lang w:eastAsia="ja-JP"/>
        </w:rPr>
        <w:t>th</w:t>
      </w:r>
      <w:r w:rsidR="00392ACD" w:rsidRPr="00B91B7E">
        <w:rPr>
          <w:rFonts w:eastAsia="MS Mincho"/>
          <w:b/>
          <w:bCs/>
          <w:sz w:val="28"/>
          <w:szCs w:val="24"/>
          <w:lang w:eastAsia="ja-JP"/>
        </w:rPr>
        <w:t xml:space="preserve"> </w:t>
      </w:r>
      <w:r w:rsidRPr="00B91B7E">
        <w:rPr>
          <w:rFonts w:eastAsia="MS Mincho"/>
          <w:b/>
          <w:bCs/>
          <w:sz w:val="28"/>
          <w:szCs w:val="24"/>
          <w:lang w:eastAsia="ja-JP"/>
        </w:rPr>
        <w:t xml:space="preserve">– </w:t>
      </w:r>
      <w:r w:rsidR="00392ACD">
        <w:rPr>
          <w:rFonts w:eastAsia="MS Mincho"/>
          <w:b/>
          <w:bCs/>
          <w:sz w:val="28"/>
          <w:szCs w:val="24"/>
          <w:lang w:eastAsia="ja-JP"/>
        </w:rPr>
        <w:t>27</w:t>
      </w:r>
      <w:r w:rsidR="00392ACD" w:rsidRPr="00B91B7E">
        <w:rPr>
          <w:rFonts w:eastAsia="MS Mincho"/>
          <w:b/>
          <w:bCs/>
          <w:sz w:val="28"/>
          <w:szCs w:val="24"/>
          <w:vertAlign w:val="superscript"/>
          <w:lang w:eastAsia="ja-JP"/>
        </w:rPr>
        <w:t>th</w:t>
      </w:r>
      <w:r w:rsidRPr="00B91B7E">
        <w:rPr>
          <w:rFonts w:eastAsia="MS Mincho"/>
          <w:b/>
          <w:bCs/>
          <w:sz w:val="28"/>
          <w:szCs w:val="24"/>
          <w:lang w:eastAsia="ja-JP"/>
        </w:rPr>
        <w:t>, 202</w:t>
      </w:r>
      <w:r w:rsidR="00525932" w:rsidRPr="00B91B7E">
        <w:rPr>
          <w:rFonts w:eastAsia="MS Mincho"/>
          <w:b/>
          <w:bCs/>
          <w:sz w:val="28"/>
          <w:szCs w:val="24"/>
          <w:lang w:eastAsia="ja-JP"/>
        </w:rPr>
        <w:t>1</w:t>
      </w:r>
    </w:p>
    <w:p w14:paraId="05965FD4" w14:textId="77777777" w:rsidR="00C4142E" w:rsidRPr="00B91B7E" w:rsidRDefault="00C4142E" w:rsidP="00E913CF">
      <w:pPr>
        <w:pStyle w:val="NoSpacing"/>
        <w:jc w:val="both"/>
        <w:rPr>
          <w:rFonts w:eastAsiaTheme="minorEastAsia"/>
          <w:b/>
          <w:sz w:val="24"/>
          <w:szCs w:val="24"/>
          <w:lang w:val="en-GB" w:eastAsia="zh-CN"/>
        </w:rPr>
      </w:pPr>
    </w:p>
    <w:p w14:paraId="2BD8256E" w14:textId="174B1799" w:rsidR="005E1775" w:rsidRPr="00B91B7E" w:rsidRDefault="005E1775" w:rsidP="00E913CF">
      <w:pPr>
        <w:pStyle w:val="NoSpacing"/>
        <w:jc w:val="both"/>
        <w:rPr>
          <w:rFonts w:eastAsiaTheme="minorEastAsia"/>
          <w:b/>
          <w:sz w:val="24"/>
          <w:szCs w:val="24"/>
          <w:lang w:eastAsia="zh-CN"/>
        </w:rPr>
      </w:pPr>
      <w:r w:rsidRPr="00B91B7E">
        <w:rPr>
          <w:b/>
          <w:sz w:val="24"/>
          <w:szCs w:val="24"/>
        </w:rPr>
        <w:t>Agenda Item:</w:t>
      </w:r>
      <w:r w:rsidRPr="00B91B7E">
        <w:rPr>
          <w:b/>
          <w:sz w:val="24"/>
          <w:szCs w:val="24"/>
        </w:rPr>
        <w:tab/>
      </w:r>
      <w:r w:rsidRPr="00B91B7E">
        <w:rPr>
          <w:b/>
          <w:sz w:val="24"/>
          <w:szCs w:val="24"/>
        </w:rPr>
        <w:tab/>
      </w:r>
      <w:r w:rsidR="00F93346" w:rsidRPr="00B91B7E">
        <w:rPr>
          <w:b/>
          <w:sz w:val="24"/>
          <w:szCs w:val="24"/>
        </w:rPr>
        <w:t>8</w:t>
      </w:r>
      <w:r w:rsidRPr="00B91B7E">
        <w:rPr>
          <w:rFonts w:eastAsia="SimSun"/>
          <w:b/>
          <w:sz w:val="24"/>
          <w:szCs w:val="24"/>
          <w:lang w:eastAsia="zh-CN"/>
        </w:rPr>
        <w:t>.</w:t>
      </w:r>
      <w:r w:rsidR="00F93346" w:rsidRPr="00B91B7E">
        <w:rPr>
          <w:rFonts w:eastAsia="SimSun"/>
          <w:b/>
          <w:sz w:val="24"/>
          <w:szCs w:val="24"/>
          <w:lang w:eastAsia="zh-CN"/>
        </w:rPr>
        <w:t>1</w:t>
      </w:r>
      <w:r w:rsidRPr="00B91B7E">
        <w:rPr>
          <w:rFonts w:eastAsia="SimSun"/>
          <w:b/>
          <w:sz w:val="24"/>
          <w:szCs w:val="24"/>
          <w:lang w:eastAsia="zh-CN"/>
        </w:rPr>
        <w:t>.</w:t>
      </w:r>
      <w:r w:rsidR="00F93346" w:rsidRPr="00B91B7E">
        <w:rPr>
          <w:rFonts w:eastAsia="SimSun"/>
          <w:b/>
          <w:sz w:val="24"/>
          <w:szCs w:val="24"/>
          <w:lang w:eastAsia="zh-CN"/>
        </w:rPr>
        <w:t>1</w:t>
      </w:r>
    </w:p>
    <w:p w14:paraId="74E70920" w14:textId="5004FC58" w:rsidR="00C4142E" w:rsidRPr="00B91B7E" w:rsidRDefault="00C4142E" w:rsidP="00E913CF">
      <w:pPr>
        <w:pStyle w:val="NoSpacing"/>
        <w:jc w:val="both"/>
        <w:rPr>
          <w:rFonts w:eastAsia="SimSun"/>
          <w:b/>
          <w:sz w:val="24"/>
          <w:szCs w:val="24"/>
        </w:rPr>
      </w:pPr>
      <w:r w:rsidRPr="00B91B7E">
        <w:rPr>
          <w:b/>
          <w:sz w:val="24"/>
          <w:szCs w:val="24"/>
        </w:rPr>
        <w:t>Source:</w:t>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proofErr w:type="spellStart"/>
      <w:r w:rsidRPr="00B91B7E">
        <w:rPr>
          <w:b/>
          <w:sz w:val="24"/>
          <w:szCs w:val="24"/>
        </w:rPr>
        <w:t>Inter</w:t>
      </w:r>
      <w:r w:rsidR="00A677A0" w:rsidRPr="00B91B7E">
        <w:rPr>
          <w:b/>
          <w:sz w:val="24"/>
          <w:szCs w:val="24"/>
        </w:rPr>
        <w:t>D</w:t>
      </w:r>
      <w:r w:rsidRPr="00B91B7E">
        <w:rPr>
          <w:b/>
          <w:sz w:val="24"/>
          <w:szCs w:val="24"/>
        </w:rPr>
        <w:t>igital</w:t>
      </w:r>
      <w:proofErr w:type="spellEnd"/>
      <w:r w:rsidR="004B58CA" w:rsidRPr="00B91B7E">
        <w:rPr>
          <w:b/>
          <w:sz w:val="24"/>
          <w:szCs w:val="24"/>
        </w:rPr>
        <w:t>,</w:t>
      </w:r>
      <w:r w:rsidR="005E1775" w:rsidRPr="00B91B7E">
        <w:rPr>
          <w:b/>
          <w:sz w:val="24"/>
          <w:szCs w:val="24"/>
        </w:rPr>
        <w:t xml:space="preserve"> Inc.</w:t>
      </w:r>
    </w:p>
    <w:p w14:paraId="5E560AE8" w14:textId="1BCE304E" w:rsidR="00C4142E" w:rsidRPr="00B91B7E" w:rsidRDefault="00C4142E" w:rsidP="00E913CF">
      <w:pPr>
        <w:pStyle w:val="NoSpacing"/>
        <w:jc w:val="both"/>
        <w:rPr>
          <w:rFonts w:eastAsiaTheme="minorEastAsia"/>
          <w:b/>
          <w:sz w:val="24"/>
          <w:szCs w:val="24"/>
        </w:rPr>
      </w:pPr>
      <w:r w:rsidRPr="00B91B7E">
        <w:rPr>
          <w:b/>
          <w:sz w:val="24"/>
          <w:szCs w:val="24"/>
        </w:rPr>
        <w:t>Title:</w:t>
      </w:r>
      <w:bookmarkStart w:id="0" w:name="Title"/>
      <w:bookmarkEnd w:id="0"/>
      <w:r w:rsidRPr="00B91B7E">
        <w:rPr>
          <w:b/>
          <w:sz w:val="24"/>
          <w:szCs w:val="24"/>
        </w:rPr>
        <w:tab/>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r w:rsidR="004B55EE" w:rsidRPr="004B55EE">
        <w:rPr>
          <w:rFonts w:eastAsiaTheme="minorEastAsia"/>
          <w:b/>
          <w:sz w:val="24"/>
          <w:szCs w:val="24"/>
          <w:lang w:eastAsia="zh-CN"/>
        </w:rPr>
        <w:t>Remaining Details on Enhancements for Multi-beam Operation</w:t>
      </w:r>
    </w:p>
    <w:p w14:paraId="35306FB9" w14:textId="60D8F6E7" w:rsidR="00C4142E" w:rsidRPr="00B91B7E" w:rsidRDefault="00C4142E" w:rsidP="00E913CF">
      <w:pPr>
        <w:pStyle w:val="NoSpacing"/>
        <w:jc w:val="both"/>
        <w:rPr>
          <w:rFonts w:eastAsia="SimSun"/>
          <w:b/>
          <w:sz w:val="24"/>
          <w:szCs w:val="24"/>
        </w:rPr>
      </w:pPr>
      <w:r w:rsidRPr="00B91B7E">
        <w:rPr>
          <w:b/>
          <w:sz w:val="24"/>
          <w:szCs w:val="24"/>
        </w:rPr>
        <w:t>Document for:</w:t>
      </w:r>
      <w:r w:rsidRPr="00B91B7E">
        <w:rPr>
          <w:b/>
          <w:sz w:val="24"/>
          <w:szCs w:val="24"/>
        </w:rPr>
        <w:tab/>
      </w:r>
      <w:bookmarkStart w:id="1" w:name="DocumentFor"/>
      <w:bookmarkEnd w:id="1"/>
      <w:r w:rsidRPr="00B91B7E">
        <w:rPr>
          <w:b/>
          <w:sz w:val="24"/>
          <w:szCs w:val="24"/>
        </w:rPr>
        <w:t>Discussio</w:t>
      </w:r>
      <w:r w:rsidRPr="00B91B7E">
        <w:rPr>
          <w:rFonts w:eastAsia="SimSun"/>
          <w:b/>
          <w:sz w:val="24"/>
          <w:szCs w:val="24"/>
        </w:rPr>
        <w:t>n and Decision</w:t>
      </w:r>
    </w:p>
    <w:p w14:paraId="0162CE0A" w14:textId="77777777" w:rsidR="00C4142E" w:rsidRPr="00B91B7E" w:rsidRDefault="00C4142E" w:rsidP="00E913CF">
      <w:pPr>
        <w:pStyle w:val="NoSpacing"/>
        <w:jc w:val="both"/>
      </w:pPr>
    </w:p>
    <w:p w14:paraId="1E3AE1A1" w14:textId="0618FE5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Introduction</w:t>
      </w:r>
    </w:p>
    <w:p w14:paraId="0833213F" w14:textId="00D9296C" w:rsidR="008975FD" w:rsidRPr="00B91B7E" w:rsidRDefault="003C4423" w:rsidP="00790A31">
      <w:pPr>
        <w:pStyle w:val="BodyText"/>
        <w:spacing w:after="0"/>
        <w:ind w:firstLine="288"/>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 xml:space="preserve">In </w:t>
      </w:r>
      <w:r w:rsidR="00D5797A" w:rsidRPr="00B91B7E">
        <w:rPr>
          <w:rFonts w:ascii="Times New Roman" w:eastAsiaTheme="minorEastAsia" w:hAnsi="Times New Roman"/>
          <w:sz w:val="22"/>
          <w:szCs w:val="22"/>
          <w:lang w:eastAsia="zh-CN"/>
        </w:rPr>
        <w:t>RAN</w:t>
      </w:r>
      <w:r w:rsidR="004B58CA" w:rsidRPr="00B91B7E">
        <w:rPr>
          <w:rFonts w:ascii="Times New Roman" w:eastAsiaTheme="minorEastAsia" w:hAnsi="Times New Roman"/>
          <w:sz w:val="22"/>
          <w:szCs w:val="22"/>
          <w:lang w:eastAsia="zh-CN"/>
        </w:rPr>
        <w:t>1</w:t>
      </w:r>
      <w:r w:rsidR="00D5797A" w:rsidRPr="00B91B7E">
        <w:rPr>
          <w:rFonts w:ascii="Times New Roman" w:eastAsiaTheme="minorEastAsia" w:hAnsi="Times New Roman"/>
          <w:sz w:val="22"/>
          <w:szCs w:val="22"/>
          <w:lang w:eastAsia="zh-CN"/>
        </w:rPr>
        <w:t>#</w:t>
      </w:r>
      <w:r w:rsidR="00E22FD1" w:rsidRPr="00B91B7E">
        <w:rPr>
          <w:rFonts w:ascii="Times New Roman" w:eastAsiaTheme="minorEastAsia" w:hAnsi="Times New Roman"/>
          <w:sz w:val="22"/>
          <w:szCs w:val="22"/>
          <w:lang w:eastAsia="zh-CN"/>
        </w:rPr>
        <w:t>10</w:t>
      </w:r>
      <w:r w:rsidR="00E22FD1">
        <w:rPr>
          <w:rFonts w:ascii="Times New Roman" w:eastAsiaTheme="minorEastAsia" w:hAnsi="Times New Roman"/>
          <w:sz w:val="22"/>
          <w:szCs w:val="22"/>
          <w:lang w:eastAsia="zh-CN"/>
        </w:rPr>
        <w:t>5</w:t>
      </w:r>
      <w:r w:rsidR="004B58CA" w:rsidRPr="00B91B7E">
        <w:rPr>
          <w:rFonts w:ascii="Times New Roman" w:eastAsiaTheme="minorEastAsia" w:hAnsi="Times New Roman"/>
          <w:sz w:val="22"/>
          <w:szCs w:val="22"/>
          <w:lang w:eastAsia="zh-CN"/>
        </w:rPr>
        <w:t>-e [1]</w:t>
      </w:r>
      <w:r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 xml:space="preserve">further </w:t>
      </w:r>
      <w:r w:rsidR="001E3F7F" w:rsidRPr="004B55EE">
        <w:rPr>
          <w:rFonts w:ascii="Times New Roman" w:eastAsiaTheme="minorEastAsia" w:hAnsi="Times New Roman"/>
          <w:sz w:val="22"/>
          <w:szCs w:val="22"/>
          <w:lang w:eastAsia="zh-CN"/>
        </w:rPr>
        <w:t xml:space="preserve">details </w:t>
      </w:r>
      <w:r w:rsidR="004B58CA" w:rsidRPr="004B55EE">
        <w:rPr>
          <w:rFonts w:ascii="Times New Roman" w:eastAsiaTheme="minorEastAsia" w:hAnsi="Times New Roman"/>
          <w:sz w:val="22"/>
          <w:szCs w:val="22"/>
          <w:lang w:eastAsia="zh-CN"/>
        </w:rPr>
        <w:t xml:space="preserve">on </w:t>
      </w:r>
      <w:r w:rsidR="004B55EE">
        <w:rPr>
          <w:rFonts w:ascii="Times New Roman" w:eastAsiaTheme="minorEastAsia" w:hAnsi="Times New Roman"/>
          <w:sz w:val="22"/>
          <w:szCs w:val="22"/>
          <w:lang w:eastAsia="zh-CN"/>
        </w:rPr>
        <w:t>application time of Rel-17 DCI-based beam indication</w:t>
      </w:r>
      <w:r w:rsidR="001557BF" w:rsidRPr="004B55EE">
        <w:rPr>
          <w:rFonts w:ascii="Times New Roman" w:eastAsiaTheme="minorEastAsia" w:hAnsi="Times New Roman"/>
          <w:sz w:val="22"/>
          <w:szCs w:val="22"/>
          <w:lang w:eastAsia="zh-CN"/>
        </w:rPr>
        <w:t xml:space="preserve">, </w:t>
      </w:r>
      <w:r w:rsidR="003A1AD7" w:rsidRPr="004B55EE">
        <w:rPr>
          <w:rFonts w:ascii="Times New Roman" w:eastAsiaTheme="minorEastAsia" w:hAnsi="Times New Roman"/>
          <w:sz w:val="22"/>
          <w:szCs w:val="22"/>
          <w:lang w:eastAsia="zh-CN"/>
        </w:rPr>
        <w:t>advanced beam refinement</w:t>
      </w:r>
      <w:r w:rsidR="00B12B35" w:rsidRPr="004B55EE">
        <w:rPr>
          <w:rFonts w:ascii="Times New Roman" w:eastAsiaTheme="minorEastAsia" w:hAnsi="Times New Roman"/>
          <w:sz w:val="22"/>
          <w:szCs w:val="22"/>
          <w:lang w:eastAsia="zh-CN"/>
        </w:rPr>
        <w:t xml:space="preserve">, </w:t>
      </w:r>
      <w:r w:rsidR="003A1AD7" w:rsidRPr="004B55EE">
        <w:rPr>
          <w:rFonts w:ascii="Times New Roman" w:eastAsiaTheme="minorEastAsia" w:hAnsi="Times New Roman"/>
          <w:sz w:val="22"/>
          <w:szCs w:val="22"/>
          <w:lang w:eastAsia="zh-CN"/>
        </w:rPr>
        <w:t>beam reporting</w:t>
      </w:r>
      <w:r w:rsidR="00B12B35" w:rsidRPr="004B55EE">
        <w:rPr>
          <w:rFonts w:ascii="Times New Roman" w:eastAsiaTheme="minorEastAsia" w:hAnsi="Times New Roman"/>
          <w:sz w:val="22"/>
          <w:szCs w:val="22"/>
          <w:lang w:eastAsia="zh-CN"/>
        </w:rPr>
        <w:t xml:space="preserve"> for L1/L2-centric inter-cell mobility, </w:t>
      </w:r>
      <w:r w:rsidR="004B55EE">
        <w:rPr>
          <w:rFonts w:ascii="Times New Roman" w:eastAsiaTheme="minorEastAsia" w:hAnsi="Times New Roman"/>
          <w:sz w:val="22"/>
          <w:szCs w:val="22"/>
          <w:lang w:eastAsia="zh-CN"/>
        </w:rPr>
        <w:t>setting of UL PC parameters,</w:t>
      </w:r>
      <w:r w:rsidR="001617FB" w:rsidRPr="004B55EE">
        <w:rPr>
          <w:rFonts w:ascii="Times New Roman" w:eastAsiaTheme="minorEastAsia" w:hAnsi="Times New Roman"/>
          <w:sz w:val="22"/>
          <w:szCs w:val="22"/>
          <w:lang w:eastAsia="zh-CN"/>
        </w:rPr>
        <w:t xml:space="preserve"> and </w:t>
      </w:r>
      <w:r w:rsidR="004B55EE">
        <w:rPr>
          <w:rFonts w:ascii="Times New Roman" w:eastAsiaTheme="minorEastAsia" w:hAnsi="Times New Roman"/>
          <w:sz w:val="22"/>
          <w:szCs w:val="22"/>
          <w:lang w:eastAsia="zh-CN"/>
        </w:rPr>
        <w:t>simultaneous beam indication across multiple CCs/BWPs</w:t>
      </w:r>
      <w:r w:rsidR="00B12B35" w:rsidRPr="004B55EE">
        <w:rPr>
          <w:rFonts w:ascii="Times New Roman" w:eastAsiaTheme="minorEastAsia" w:hAnsi="Times New Roman"/>
          <w:sz w:val="22"/>
          <w:szCs w:val="22"/>
          <w:lang w:eastAsia="zh-CN"/>
        </w:rPr>
        <w:t xml:space="preserve"> </w:t>
      </w:r>
      <w:r w:rsidR="00790A31" w:rsidRPr="004B55EE">
        <w:rPr>
          <w:rFonts w:ascii="Times New Roman" w:eastAsiaTheme="minorEastAsia" w:hAnsi="Times New Roman"/>
          <w:sz w:val="22"/>
          <w:szCs w:val="22"/>
          <w:lang w:eastAsia="zh-CN"/>
        </w:rPr>
        <w:t>were</w:t>
      </w:r>
      <w:r w:rsidR="00BA5880" w:rsidRPr="004B55EE">
        <w:rPr>
          <w:rFonts w:ascii="Times New Roman" w:eastAsiaTheme="minorEastAsia" w:hAnsi="Times New Roman"/>
          <w:sz w:val="22"/>
          <w:szCs w:val="22"/>
          <w:lang w:eastAsia="zh-CN"/>
        </w:rPr>
        <w:t xml:space="preserve"> </w:t>
      </w:r>
      <w:r w:rsidR="001E3F7F" w:rsidRPr="004B55EE">
        <w:rPr>
          <w:rFonts w:ascii="Times New Roman" w:eastAsiaTheme="minorEastAsia" w:hAnsi="Times New Roman"/>
          <w:sz w:val="22"/>
          <w:szCs w:val="22"/>
          <w:lang w:eastAsia="zh-CN"/>
        </w:rPr>
        <w:t>agreed</w:t>
      </w:r>
      <w:r w:rsidR="001557BF" w:rsidRPr="004B55EE">
        <w:rPr>
          <w:rFonts w:ascii="Times New Roman" w:eastAsiaTheme="minorEastAsia" w:hAnsi="Times New Roman"/>
          <w:sz w:val="22"/>
          <w:szCs w:val="22"/>
          <w:lang w:eastAsia="zh-CN"/>
        </w:rPr>
        <w:t>.</w:t>
      </w:r>
      <w:r w:rsidR="00790A31" w:rsidRPr="004B55EE">
        <w:rPr>
          <w:rFonts w:ascii="Times New Roman" w:eastAsiaTheme="minorEastAsia" w:hAnsi="Times New Roman"/>
          <w:sz w:val="22"/>
          <w:szCs w:val="22"/>
          <w:lang w:eastAsia="zh-CN"/>
        </w:rPr>
        <w:t xml:space="preserve"> </w:t>
      </w:r>
      <w:r w:rsidR="008975FD" w:rsidRPr="004B55EE">
        <w:rPr>
          <w:rFonts w:ascii="Times New Roman" w:eastAsiaTheme="minorEastAsia" w:hAnsi="Times New Roman"/>
          <w:sz w:val="22"/>
          <w:szCs w:val="22"/>
          <w:lang w:eastAsia="zh-CN"/>
        </w:rPr>
        <w:t>In this contribution, we discuss</w:t>
      </w:r>
      <w:r w:rsidR="00D5797A" w:rsidRPr="004B55EE">
        <w:rPr>
          <w:rFonts w:ascii="Times New Roman" w:eastAsiaTheme="minorEastAsia" w:hAnsi="Times New Roman"/>
          <w:sz w:val="22"/>
          <w:szCs w:val="22"/>
          <w:lang w:eastAsia="zh-CN"/>
        </w:rPr>
        <w:t xml:space="preserve"> </w:t>
      </w:r>
      <w:r w:rsidR="001E3F7F" w:rsidRPr="004B55EE">
        <w:rPr>
          <w:rFonts w:ascii="Times New Roman" w:eastAsiaTheme="minorEastAsia" w:hAnsi="Times New Roman"/>
          <w:sz w:val="22"/>
          <w:szCs w:val="22"/>
          <w:lang w:eastAsia="zh-CN"/>
        </w:rPr>
        <w:t xml:space="preserve">remaining </w:t>
      </w:r>
      <w:r w:rsidR="00F43068" w:rsidRPr="004B55EE">
        <w:rPr>
          <w:rFonts w:ascii="Times New Roman" w:eastAsiaTheme="minorEastAsia" w:hAnsi="Times New Roman"/>
          <w:sz w:val="22"/>
          <w:szCs w:val="22"/>
          <w:lang w:eastAsia="zh-CN"/>
        </w:rPr>
        <w:t>details on</w:t>
      </w:r>
      <w:r w:rsidR="00987421" w:rsidRPr="004B55EE">
        <w:rPr>
          <w:rFonts w:ascii="Times New Roman" w:eastAsiaTheme="minorEastAsia" w:hAnsi="Times New Roman"/>
          <w:sz w:val="22"/>
          <w:szCs w:val="22"/>
          <w:lang w:eastAsia="zh-CN"/>
        </w:rPr>
        <w:t xml:space="preserve"> </w:t>
      </w:r>
      <w:r w:rsidR="00F43068" w:rsidRPr="004B55EE">
        <w:rPr>
          <w:rFonts w:ascii="Times New Roman" w:eastAsiaTheme="minorEastAsia" w:hAnsi="Times New Roman"/>
          <w:sz w:val="22"/>
          <w:szCs w:val="22"/>
          <w:lang w:eastAsia="zh-CN"/>
        </w:rPr>
        <w:t>Rel-17 beam management</w:t>
      </w:r>
      <w:r w:rsidR="00D5797A" w:rsidRPr="004B55EE">
        <w:rPr>
          <w:rFonts w:ascii="Times New Roman" w:eastAsiaTheme="minorEastAsia" w:hAnsi="Times New Roman"/>
          <w:sz w:val="22"/>
          <w:szCs w:val="22"/>
          <w:lang w:eastAsia="zh-CN"/>
        </w:rPr>
        <w:t>.</w:t>
      </w:r>
      <w:r w:rsidR="00D5797A" w:rsidRPr="00B91B7E">
        <w:rPr>
          <w:rFonts w:ascii="Times New Roman" w:eastAsiaTheme="minorEastAsia" w:hAnsi="Times New Roman"/>
          <w:sz w:val="22"/>
          <w:szCs w:val="22"/>
          <w:lang w:eastAsia="zh-CN"/>
        </w:rPr>
        <w:t xml:space="preserve"> </w:t>
      </w:r>
    </w:p>
    <w:p w14:paraId="1B1C9223" w14:textId="77777777" w:rsidR="0003199F" w:rsidRPr="00B91B7E" w:rsidRDefault="0003199F" w:rsidP="00E913CF">
      <w:pPr>
        <w:pStyle w:val="BodyText"/>
        <w:spacing w:after="0"/>
        <w:rPr>
          <w:rFonts w:ascii="Times New Roman" w:eastAsiaTheme="minorEastAsia" w:hAnsi="Times New Roman"/>
          <w:sz w:val="22"/>
          <w:szCs w:val="22"/>
          <w:lang w:eastAsia="zh-CN"/>
        </w:rPr>
      </w:pPr>
    </w:p>
    <w:p w14:paraId="30C33DB1" w14:textId="77777777" w:rsidR="00115DAB" w:rsidRPr="00B91B7E" w:rsidRDefault="00115DAB" w:rsidP="00E854CD">
      <w:pPr>
        <w:pStyle w:val="Heading1"/>
        <w:numPr>
          <w:ilvl w:val="0"/>
          <w:numId w:val="4"/>
        </w:numPr>
        <w:spacing w:before="0" w:after="120" w:line="276" w:lineRule="auto"/>
        <w:contextualSpacing/>
        <w:jc w:val="both"/>
        <w:rPr>
          <w:rFonts w:ascii="Times New Roman" w:hAnsi="Times New Roman"/>
          <w:smallCaps/>
          <w:lang w:val="en-US"/>
        </w:rPr>
      </w:pPr>
      <w:r w:rsidRPr="00E854CD">
        <w:rPr>
          <w:rFonts w:ascii="Times New Roman" w:hAnsi="Times New Roman"/>
          <w:smallCaps/>
          <w:lang w:val="en-US"/>
        </w:rPr>
        <w:t>Unified TCI framework for DL and UL</w:t>
      </w:r>
    </w:p>
    <w:p w14:paraId="06EC3DB1" w14:textId="00C4CB1B" w:rsidR="00E933D5" w:rsidRPr="00B91B7E" w:rsidRDefault="00E933D5"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In this section, we provide discussions on </w:t>
      </w:r>
      <w:r w:rsidR="006110DB" w:rsidRPr="00B91B7E">
        <w:rPr>
          <w:rFonts w:ascii="Times New Roman" w:hAnsi="Times New Roman"/>
          <w:sz w:val="22"/>
          <w:szCs w:val="22"/>
        </w:rPr>
        <w:t>the issues related to the unified TCI framework</w:t>
      </w:r>
      <w:r w:rsidRPr="00B91B7E">
        <w:rPr>
          <w:rFonts w:ascii="Times New Roman" w:hAnsi="Times New Roman"/>
          <w:sz w:val="22"/>
          <w:szCs w:val="22"/>
        </w:rPr>
        <w:t xml:space="preserve">. </w:t>
      </w:r>
    </w:p>
    <w:p w14:paraId="7CF64BEA" w14:textId="1E4AE873" w:rsidR="00670DD2" w:rsidRDefault="00670DD2" w:rsidP="00670DD2">
      <w:pPr>
        <w:pStyle w:val="BodyText"/>
        <w:spacing w:after="60"/>
        <w:ind w:left="760"/>
        <w:rPr>
          <w:rFonts w:ascii="Times New Roman" w:hAnsi="Times New Roman"/>
          <w:sz w:val="22"/>
          <w:szCs w:val="22"/>
        </w:rPr>
      </w:pPr>
    </w:p>
    <w:p w14:paraId="284D26F9" w14:textId="1C63614A" w:rsidR="000C16BB" w:rsidRPr="009315C6" w:rsidRDefault="000C16BB" w:rsidP="009315C6">
      <w:pPr>
        <w:pStyle w:val="BodyText"/>
        <w:spacing w:after="60"/>
        <w:rPr>
          <w:rFonts w:ascii="Times New Roman" w:hAnsi="Times New Roman"/>
          <w:b/>
          <w:bCs/>
          <w:sz w:val="22"/>
          <w:szCs w:val="22"/>
          <w:u w:val="single"/>
          <w:lang w:val="en-GB"/>
        </w:rPr>
      </w:pPr>
      <w:r w:rsidRPr="009315C6">
        <w:rPr>
          <w:rFonts w:ascii="Times New Roman" w:hAnsi="Times New Roman"/>
          <w:b/>
          <w:bCs/>
          <w:sz w:val="22"/>
          <w:szCs w:val="22"/>
          <w:u w:val="single"/>
          <w:lang w:val="en-GB"/>
        </w:rPr>
        <w:t>Advanced beam refinement/tracking</w:t>
      </w:r>
    </w:p>
    <w:p w14:paraId="62174E50" w14:textId="2616C085" w:rsidR="000C16BB" w:rsidRDefault="000C16BB" w:rsidP="000C16BB">
      <w:pPr>
        <w:pStyle w:val="BodyText"/>
        <w:spacing w:after="60"/>
        <w:rPr>
          <w:rFonts w:ascii="Times New Roman" w:hAnsi="Times New Roman"/>
          <w:sz w:val="22"/>
          <w:szCs w:val="22"/>
          <w:lang w:val="en-GB"/>
        </w:rPr>
      </w:pPr>
      <w:r>
        <w:rPr>
          <w:rFonts w:ascii="Times New Roman" w:hAnsi="Times New Roman"/>
          <w:sz w:val="22"/>
          <w:szCs w:val="22"/>
          <w:lang w:val="en-GB"/>
        </w:rPr>
        <w:tab/>
        <w:t>In RAN1#</w:t>
      </w:r>
      <w:r w:rsidR="00ED3B02">
        <w:rPr>
          <w:rFonts w:ascii="Times New Roman" w:hAnsi="Times New Roman"/>
          <w:sz w:val="22"/>
          <w:szCs w:val="22"/>
          <w:lang w:val="en-GB"/>
        </w:rPr>
        <w:t>105</w:t>
      </w:r>
      <w:r>
        <w:rPr>
          <w:rFonts w:ascii="Times New Roman" w:hAnsi="Times New Roman"/>
          <w:sz w:val="22"/>
          <w:szCs w:val="22"/>
          <w:lang w:val="en-GB"/>
        </w:rPr>
        <w:t xml:space="preserve">-e [1], following candidate schemes </w:t>
      </w:r>
      <w:r w:rsidR="008B7C10">
        <w:rPr>
          <w:rFonts w:ascii="Times New Roman" w:hAnsi="Times New Roman"/>
          <w:sz w:val="22"/>
          <w:szCs w:val="22"/>
          <w:lang w:val="en-GB"/>
        </w:rPr>
        <w:t xml:space="preserve">of group 1 </w:t>
      </w:r>
      <w:r>
        <w:rPr>
          <w:rFonts w:ascii="Times New Roman" w:hAnsi="Times New Roman"/>
          <w:sz w:val="22"/>
          <w:szCs w:val="22"/>
          <w:lang w:val="en-GB"/>
        </w:rPr>
        <w:t>are agreed to facilitate advanced beam refinement/tracking:</w:t>
      </w:r>
    </w:p>
    <w:p w14:paraId="6E3B2C8B" w14:textId="2E56D9D4" w:rsidR="000C16BB" w:rsidRDefault="000C16BB" w:rsidP="000C16BB">
      <w:pPr>
        <w:pStyle w:val="BodyText"/>
        <w:spacing w:after="60"/>
        <w:rPr>
          <w:rFonts w:ascii="Times New Roman" w:hAnsi="Times New Roman"/>
          <w:sz w:val="22"/>
          <w:szCs w:val="22"/>
          <w:lang w:val="en-GB"/>
        </w:rPr>
      </w:pPr>
    </w:p>
    <w:p w14:paraId="54EF6E4F" w14:textId="7D896DFD" w:rsidR="000C16BB" w:rsidRPr="009315C6" w:rsidRDefault="000C16BB" w:rsidP="000C16BB">
      <w:pPr>
        <w:pStyle w:val="BodyText"/>
        <w:spacing w:after="60"/>
        <w:rPr>
          <w:rFonts w:ascii="Times New Roman" w:hAnsi="Times New Roman"/>
          <w:b/>
          <w:bCs/>
          <w:sz w:val="22"/>
          <w:szCs w:val="22"/>
          <w:lang w:val="en-GB"/>
        </w:rPr>
      </w:pPr>
      <w:r w:rsidRPr="009315C6">
        <w:rPr>
          <w:rFonts w:ascii="Times New Roman" w:hAnsi="Times New Roman"/>
          <w:b/>
          <w:bCs/>
          <w:sz w:val="22"/>
          <w:szCs w:val="22"/>
          <w:lang w:val="en-GB"/>
        </w:rPr>
        <w:t>Group 1</w:t>
      </w:r>
    </w:p>
    <w:p w14:paraId="717902D9" w14:textId="48C27AE0" w:rsidR="000C16BB" w:rsidRDefault="000C16BB" w:rsidP="000C16BB">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w:t>
      </w:r>
      <w:r w:rsidR="00ED3B02">
        <w:rPr>
          <w:sz w:val="22"/>
          <w:szCs w:val="22"/>
        </w:rPr>
        <w:t>A</w:t>
      </w:r>
      <w:r w:rsidRPr="000C16BB">
        <w:rPr>
          <w:sz w:val="22"/>
          <w:szCs w:val="22"/>
        </w:rPr>
        <w:t>: UE-initiated beam selection/activation based on beam measurement</w:t>
      </w:r>
      <w:r w:rsidR="00ED3B02">
        <w:rPr>
          <w:sz w:val="22"/>
          <w:szCs w:val="22"/>
        </w:rPr>
        <w:t xml:space="preserve"> </w:t>
      </w:r>
      <w:r w:rsidR="00ED3B02" w:rsidRPr="00ED3B02">
        <w:rPr>
          <w:sz w:val="22"/>
          <w:szCs w:val="22"/>
        </w:rPr>
        <w:t>and/or reporting</w:t>
      </w:r>
      <w:r w:rsidRPr="000C16BB">
        <w:rPr>
          <w:sz w:val="22"/>
          <w:szCs w:val="22"/>
        </w:rPr>
        <w:t xml:space="preserve"> (without beam indication or activation from NW)</w:t>
      </w:r>
    </w:p>
    <w:p w14:paraId="7051A3F2" w14:textId="46BB8F1F" w:rsidR="00B54719" w:rsidRPr="000C16BB" w:rsidRDefault="00B54719" w:rsidP="009315C6">
      <w:pPr>
        <w:pStyle w:val="BodyText"/>
        <w:numPr>
          <w:ilvl w:val="1"/>
          <w:numId w:val="23"/>
        </w:numPr>
        <w:spacing w:after="60"/>
        <w:rPr>
          <w:sz w:val="22"/>
          <w:szCs w:val="22"/>
        </w:rPr>
      </w:pPr>
      <w:r>
        <w:rPr>
          <w:sz w:val="22"/>
          <w:szCs w:val="22"/>
        </w:rPr>
        <w:t xml:space="preserve">UE-initiated beam selection/activation may reduce beam application </w:t>
      </w:r>
      <w:proofErr w:type="gramStart"/>
      <w:r>
        <w:rPr>
          <w:sz w:val="22"/>
          <w:szCs w:val="22"/>
        </w:rPr>
        <w:t>latency,</w:t>
      </w:r>
      <w:proofErr w:type="gramEnd"/>
      <w:r>
        <w:rPr>
          <w:sz w:val="22"/>
          <w:szCs w:val="22"/>
        </w:rPr>
        <w:t xml:space="preserve"> however, it is preferred to include beam group indication or activation from NW</w:t>
      </w:r>
      <w:r w:rsidR="003C2748">
        <w:rPr>
          <w:sz w:val="22"/>
          <w:szCs w:val="22"/>
        </w:rPr>
        <w:t xml:space="preserve"> (e.g., TCI state group). UE </w:t>
      </w:r>
      <w:proofErr w:type="gramStart"/>
      <w:r w:rsidR="003C2748">
        <w:rPr>
          <w:sz w:val="22"/>
          <w:szCs w:val="22"/>
        </w:rPr>
        <w:t>is able to</w:t>
      </w:r>
      <w:proofErr w:type="gramEnd"/>
      <w:r w:rsidR="003C2748">
        <w:rPr>
          <w:sz w:val="22"/>
          <w:szCs w:val="22"/>
        </w:rPr>
        <w:t xml:space="preserve"> determine its best beam among beams within the indicated beam group.</w:t>
      </w:r>
    </w:p>
    <w:p w14:paraId="4579D752" w14:textId="67F0BF03" w:rsidR="00ED3B02" w:rsidRDefault="00ED3B02" w:rsidP="00ED3B02">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w:t>
      </w:r>
      <w:r>
        <w:rPr>
          <w:sz w:val="22"/>
          <w:szCs w:val="22"/>
        </w:rPr>
        <w:t>B</w:t>
      </w:r>
      <w:r w:rsidRPr="000C16BB">
        <w:rPr>
          <w:sz w:val="22"/>
          <w:szCs w:val="22"/>
        </w:rPr>
        <w:t>: Beam measurement/reporting/refinement/selection triggered by beam indication (without CSI request)</w:t>
      </w:r>
    </w:p>
    <w:p w14:paraId="6E462DB1" w14:textId="77777777" w:rsidR="00ED3B02" w:rsidRPr="000C16BB" w:rsidRDefault="00ED3B02" w:rsidP="00ED3B02">
      <w:pPr>
        <w:pStyle w:val="BodyText"/>
        <w:numPr>
          <w:ilvl w:val="1"/>
          <w:numId w:val="23"/>
        </w:numPr>
        <w:spacing w:after="60"/>
        <w:rPr>
          <w:sz w:val="22"/>
          <w:szCs w:val="22"/>
        </w:rPr>
      </w:pPr>
      <w:r>
        <w:rPr>
          <w:sz w:val="22"/>
          <w:szCs w:val="22"/>
        </w:rPr>
        <w:t xml:space="preserve">By allowing beam measurement and reporting triggered by beam indication, latency to acquire beam information can be significantly reduced. </w:t>
      </w:r>
      <w:r w:rsidRPr="004B55EE">
        <w:rPr>
          <w:sz w:val="22"/>
          <w:szCs w:val="22"/>
        </w:rPr>
        <w:t>In addition, transmitted RS for beam measurement can be used as a final gNB confirmation for beam change</w:t>
      </w:r>
      <w:r>
        <w:rPr>
          <w:sz w:val="22"/>
          <w:szCs w:val="22"/>
        </w:rPr>
        <w:t>.</w:t>
      </w:r>
    </w:p>
    <w:p w14:paraId="4CC988D7" w14:textId="5874738B" w:rsidR="000C16BB" w:rsidRDefault="000C16BB" w:rsidP="000C16BB">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w:t>
      </w:r>
      <w:r w:rsidR="00ED3B02">
        <w:rPr>
          <w:sz w:val="22"/>
          <w:szCs w:val="22"/>
        </w:rPr>
        <w:t>C</w:t>
      </w:r>
      <w:r w:rsidRPr="000C16BB">
        <w:rPr>
          <w:sz w:val="22"/>
          <w:szCs w:val="22"/>
        </w:rPr>
        <w:t>: Aperiodic beam measurement/reporting based on multiple resource sets for reducing beam measurement latency</w:t>
      </w:r>
    </w:p>
    <w:p w14:paraId="33B95BFF" w14:textId="7CEC11B4" w:rsidR="00DC4C59" w:rsidRPr="000C16BB" w:rsidRDefault="00DC4C59" w:rsidP="009315C6">
      <w:pPr>
        <w:pStyle w:val="BodyText"/>
        <w:numPr>
          <w:ilvl w:val="1"/>
          <w:numId w:val="23"/>
        </w:numPr>
        <w:spacing w:after="60"/>
        <w:rPr>
          <w:sz w:val="22"/>
          <w:szCs w:val="22"/>
        </w:rPr>
      </w:pPr>
      <w:r>
        <w:rPr>
          <w:sz w:val="22"/>
          <w:szCs w:val="22"/>
        </w:rPr>
        <w:t>As there’s no change on maximum number of beams in Rel-17 unified TCI framework, we don’t see clear technical motivation to allow multiple resource sets</w:t>
      </w:r>
      <w:r w:rsidR="00710FC4">
        <w:rPr>
          <w:sz w:val="22"/>
          <w:szCs w:val="22"/>
        </w:rPr>
        <w:t xml:space="preserve"> for aperiodic beam measurement/reporting</w:t>
      </w:r>
      <w:r>
        <w:rPr>
          <w:sz w:val="22"/>
          <w:szCs w:val="22"/>
        </w:rPr>
        <w:t xml:space="preserve">. </w:t>
      </w:r>
    </w:p>
    <w:p w14:paraId="46C6903A" w14:textId="6F386779" w:rsidR="000C16BB" w:rsidRDefault="000C16BB" w:rsidP="000C16BB">
      <w:pPr>
        <w:pStyle w:val="BodyText"/>
        <w:spacing w:after="60"/>
        <w:rPr>
          <w:b/>
          <w:bCs/>
          <w:sz w:val="22"/>
          <w:szCs w:val="22"/>
        </w:rPr>
      </w:pPr>
    </w:p>
    <w:p w14:paraId="63CCEB14" w14:textId="068170EB" w:rsidR="00EA6FBD" w:rsidRDefault="00EA6FBD" w:rsidP="00EA6FBD">
      <w:pPr>
        <w:spacing w:after="0"/>
        <w:contextualSpacing/>
        <w:jc w:val="both"/>
        <w:rPr>
          <w:bCs/>
          <w:i/>
          <w:sz w:val="22"/>
        </w:rPr>
      </w:pPr>
      <w:r w:rsidRPr="00B91B7E">
        <w:rPr>
          <w:b/>
          <w:i/>
          <w:sz w:val="22"/>
        </w:rPr>
        <w:t xml:space="preserve">Proposal </w:t>
      </w:r>
      <w:r>
        <w:rPr>
          <w:b/>
          <w:i/>
          <w:sz w:val="22"/>
        </w:rPr>
        <w:t>1</w:t>
      </w:r>
      <w:r w:rsidRPr="00B91B7E">
        <w:rPr>
          <w:b/>
          <w:i/>
          <w:sz w:val="22"/>
        </w:rPr>
        <w:t>:</w:t>
      </w:r>
      <w:r w:rsidRPr="00B91B7E">
        <w:rPr>
          <w:bCs/>
          <w:i/>
          <w:sz w:val="22"/>
        </w:rPr>
        <w:t xml:space="preserve"> </w:t>
      </w:r>
      <w:r>
        <w:rPr>
          <w:bCs/>
          <w:i/>
          <w:sz w:val="22"/>
        </w:rPr>
        <w:t xml:space="preserve">For </w:t>
      </w:r>
      <w:r w:rsidRPr="004B55EE">
        <w:rPr>
          <w:bCs/>
          <w:i/>
          <w:sz w:val="22"/>
        </w:rPr>
        <w:t>group 1, support beam measurement/reporting/refinement/selection triggered by beam indication (opt 1-</w:t>
      </w:r>
      <w:r w:rsidR="00FC22E2" w:rsidRPr="004B55EE">
        <w:rPr>
          <w:bCs/>
          <w:i/>
          <w:sz w:val="22"/>
        </w:rPr>
        <w:t>B</w:t>
      </w:r>
      <w:r w:rsidRPr="004B55EE">
        <w:rPr>
          <w:bCs/>
          <w:i/>
          <w:sz w:val="22"/>
        </w:rPr>
        <w:t>) for advanced beam refinement/tracki</w:t>
      </w:r>
      <w:r>
        <w:rPr>
          <w:bCs/>
          <w:i/>
          <w:sz w:val="22"/>
        </w:rPr>
        <w:t xml:space="preserve">ng. </w:t>
      </w:r>
    </w:p>
    <w:p w14:paraId="557A1BC3" w14:textId="77777777" w:rsidR="00EA6FBD" w:rsidRDefault="00EA6FBD" w:rsidP="00EA6FBD">
      <w:pPr>
        <w:spacing w:after="0"/>
        <w:contextualSpacing/>
        <w:jc w:val="both"/>
        <w:rPr>
          <w:bCs/>
          <w:i/>
          <w:sz w:val="22"/>
        </w:rPr>
      </w:pPr>
    </w:p>
    <w:p w14:paraId="476353AE" w14:textId="7C76BB8E" w:rsidR="00EA6FBD" w:rsidRPr="00B91B7E" w:rsidRDefault="00EA6FBD" w:rsidP="00EA6FBD">
      <w:pPr>
        <w:spacing w:after="0"/>
        <w:contextualSpacing/>
        <w:jc w:val="both"/>
        <w:rPr>
          <w:bCs/>
          <w:i/>
          <w:sz w:val="22"/>
          <w:lang w:eastAsia="ko-KR"/>
        </w:rPr>
      </w:pPr>
      <w:r w:rsidRPr="00B91B7E">
        <w:rPr>
          <w:b/>
          <w:i/>
          <w:sz w:val="22"/>
        </w:rPr>
        <w:t xml:space="preserve">Proposal </w:t>
      </w:r>
      <w:r>
        <w:rPr>
          <w:b/>
          <w:i/>
          <w:sz w:val="22"/>
        </w:rPr>
        <w:t>2</w:t>
      </w:r>
      <w:r w:rsidRPr="00B91B7E">
        <w:rPr>
          <w:b/>
          <w:i/>
          <w:sz w:val="22"/>
        </w:rPr>
        <w:t>:</w:t>
      </w:r>
      <w:r w:rsidRPr="00B91B7E">
        <w:rPr>
          <w:bCs/>
          <w:i/>
          <w:sz w:val="22"/>
        </w:rPr>
        <w:t xml:space="preserve"> </w:t>
      </w:r>
      <w:r>
        <w:rPr>
          <w:bCs/>
          <w:i/>
          <w:sz w:val="22"/>
        </w:rPr>
        <w:t xml:space="preserve">For group 1, </w:t>
      </w:r>
      <w:r w:rsidRPr="00EA6FBD">
        <w:rPr>
          <w:bCs/>
          <w:i/>
          <w:sz w:val="22"/>
        </w:rPr>
        <w:t>UE-initiated beam selection/activation based on beam measurement</w:t>
      </w:r>
      <w:r>
        <w:rPr>
          <w:bCs/>
          <w:i/>
          <w:sz w:val="22"/>
        </w:rPr>
        <w:t xml:space="preserve"> can be considered if gNB beam group indication or activation is supported. </w:t>
      </w:r>
    </w:p>
    <w:p w14:paraId="61E67721" w14:textId="1D1DE738" w:rsidR="00EA6FBD" w:rsidRDefault="00EA6FBD" w:rsidP="000C16BB">
      <w:pPr>
        <w:pStyle w:val="BodyText"/>
        <w:spacing w:after="60"/>
        <w:rPr>
          <w:b/>
          <w:bCs/>
          <w:sz w:val="22"/>
          <w:szCs w:val="22"/>
          <w:lang w:val="en-GB"/>
        </w:rPr>
      </w:pPr>
    </w:p>
    <w:p w14:paraId="1F3C0E23" w14:textId="7B6FF441" w:rsidR="00C84AD5" w:rsidRPr="009315C6" w:rsidRDefault="00C84AD5" w:rsidP="000C16BB">
      <w:pPr>
        <w:pStyle w:val="BodyText"/>
        <w:spacing w:after="60"/>
        <w:rPr>
          <w:rFonts w:ascii="Times New Roman" w:hAnsi="Times New Roman"/>
          <w:sz w:val="22"/>
          <w:szCs w:val="22"/>
          <w:lang w:val="en-GB"/>
        </w:rPr>
      </w:pPr>
      <w:r w:rsidRPr="009315C6">
        <w:rPr>
          <w:rFonts w:ascii="Times New Roman" w:hAnsi="Times New Roman"/>
          <w:sz w:val="22"/>
          <w:szCs w:val="22"/>
          <w:lang w:val="en-GB"/>
        </w:rPr>
        <w:lastRenderedPageBreak/>
        <w:tab/>
        <w:t xml:space="preserve">In addition to group 1, following candidate schemes were agreed for group 2. </w:t>
      </w:r>
    </w:p>
    <w:p w14:paraId="10FA6737" w14:textId="77777777" w:rsidR="00C84AD5" w:rsidRPr="009315C6" w:rsidRDefault="00C84AD5" w:rsidP="000C16BB">
      <w:pPr>
        <w:pStyle w:val="BodyText"/>
        <w:spacing w:after="60"/>
        <w:rPr>
          <w:b/>
          <w:bCs/>
          <w:sz w:val="22"/>
          <w:szCs w:val="22"/>
          <w:lang w:val="en-GB"/>
        </w:rPr>
      </w:pPr>
    </w:p>
    <w:p w14:paraId="30374818" w14:textId="018E2FA5" w:rsidR="000C16BB" w:rsidRPr="009315C6" w:rsidRDefault="000C16BB">
      <w:pPr>
        <w:pStyle w:val="BodyText"/>
        <w:spacing w:after="60"/>
        <w:rPr>
          <w:b/>
          <w:bCs/>
          <w:sz w:val="22"/>
          <w:szCs w:val="22"/>
        </w:rPr>
      </w:pPr>
      <w:r w:rsidRPr="009315C6">
        <w:rPr>
          <w:b/>
          <w:bCs/>
          <w:sz w:val="22"/>
          <w:szCs w:val="22"/>
        </w:rPr>
        <w:t>Group 2</w:t>
      </w:r>
    </w:p>
    <w:p w14:paraId="2B725196" w14:textId="2ED59D8C" w:rsidR="000C16BB"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2-A: Latency reduction for MAC CE based TCI state activation, or frequency/time/beam tracking</w:t>
      </w:r>
    </w:p>
    <w:p w14:paraId="5BB0A77B" w14:textId="5409C3D9" w:rsidR="000C16BB" w:rsidRPr="004B55EE"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2-B: Latency </w:t>
      </w:r>
      <w:r w:rsidRPr="004B55EE">
        <w:rPr>
          <w:sz w:val="22"/>
          <w:szCs w:val="22"/>
        </w:rPr>
        <w:t>reduction for MAC CE based PL-RS activation</w:t>
      </w:r>
    </w:p>
    <w:p w14:paraId="77C919C9" w14:textId="7A277CFF" w:rsidR="000C16BB" w:rsidRPr="000C16BB" w:rsidRDefault="000C16BB" w:rsidP="000C16BB">
      <w:pPr>
        <w:pStyle w:val="BodyText"/>
        <w:numPr>
          <w:ilvl w:val="0"/>
          <w:numId w:val="24"/>
        </w:numPr>
        <w:spacing w:after="60"/>
        <w:rPr>
          <w:sz w:val="22"/>
          <w:szCs w:val="22"/>
        </w:rPr>
      </w:pPr>
      <w:proofErr w:type="spellStart"/>
      <w:r w:rsidRPr="004B55EE">
        <w:rPr>
          <w:sz w:val="22"/>
          <w:szCs w:val="22"/>
        </w:rPr>
        <w:t>Opt</w:t>
      </w:r>
      <w:proofErr w:type="spellEnd"/>
      <w:r w:rsidRPr="004B55EE">
        <w:rPr>
          <w:sz w:val="22"/>
          <w:szCs w:val="22"/>
        </w:rPr>
        <w:t xml:space="preserve"> 2-</w:t>
      </w:r>
      <w:r w:rsidR="00FC22E2" w:rsidRPr="004B55EE">
        <w:rPr>
          <w:sz w:val="22"/>
          <w:szCs w:val="22"/>
        </w:rPr>
        <w:t>C</w:t>
      </w:r>
      <w:r w:rsidRPr="004B55EE">
        <w:rPr>
          <w:sz w:val="22"/>
          <w:szCs w:val="22"/>
        </w:rPr>
        <w:t>: One-shot timing update for TCI state</w:t>
      </w:r>
      <w:r w:rsidRPr="000C16BB">
        <w:rPr>
          <w:sz w:val="22"/>
          <w:szCs w:val="22"/>
        </w:rPr>
        <w:t xml:space="preserve"> update</w:t>
      </w:r>
    </w:p>
    <w:p w14:paraId="0AB0607D" w14:textId="2ABE332D" w:rsidR="000C16BB" w:rsidRDefault="000C16BB" w:rsidP="000C16BB">
      <w:pPr>
        <w:pStyle w:val="BodyText"/>
        <w:spacing w:after="60"/>
        <w:rPr>
          <w:rFonts w:ascii="Times New Roman" w:hAnsi="Times New Roman"/>
          <w:sz w:val="22"/>
          <w:szCs w:val="22"/>
        </w:rPr>
      </w:pPr>
    </w:p>
    <w:p w14:paraId="5CAEE06F" w14:textId="79198B47" w:rsidR="00710FC4" w:rsidRPr="009315C6" w:rsidRDefault="00710FC4" w:rsidP="009315C6">
      <w:pPr>
        <w:pStyle w:val="BodyText"/>
        <w:spacing w:after="60"/>
        <w:ind w:firstLine="288"/>
        <w:rPr>
          <w:rFonts w:ascii="Times New Roman" w:hAnsi="Times New Roman"/>
          <w:sz w:val="22"/>
          <w:szCs w:val="22"/>
        </w:rPr>
      </w:pPr>
      <w:r w:rsidRPr="009315C6">
        <w:rPr>
          <w:rFonts w:ascii="Times New Roman" w:hAnsi="Times New Roman"/>
          <w:sz w:val="22"/>
          <w:szCs w:val="22"/>
        </w:rPr>
        <w:t xml:space="preserve">For MAC </w:t>
      </w:r>
      <w:r w:rsidRPr="004B55EE">
        <w:rPr>
          <w:rFonts w:ascii="Times New Roman" w:hAnsi="Times New Roman"/>
          <w:sz w:val="22"/>
          <w:szCs w:val="22"/>
        </w:rPr>
        <w:t>CE based activation</w:t>
      </w:r>
      <w:r w:rsidR="00EE0B24" w:rsidRPr="004B55EE">
        <w:rPr>
          <w:rFonts w:ascii="Times New Roman" w:hAnsi="Times New Roman"/>
          <w:sz w:val="22"/>
          <w:szCs w:val="22"/>
        </w:rPr>
        <w:t xml:space="preserve"> methods</w:t>
      </w:r>
      <w:r w:rsidRPr="004B55EE">
        <w:rPr>
          <w:rFonts w:ascii="Times New Roman" w:hAnsi="Times New Roman"/>
          <w:sz w:val="22"/>
          <w:szCs w:val="22"/>
        </w:rPr>
        <w:t xml:space="preserve">, the activation time is determined based on whether indicated RSs are known or unknown. </w:t>
      </w:r>
      <w:r w:rsidR="00EE0B24" w:rsidRPr="004B55EE">
        <w:rPr>
          <w:rFonts w:ascii="Times New Roman" w:hAnsi="Times New Roman"/>
          <w:sz w:val="22"/>
          <w:szCs w:val="22"/>
        </w:rPr>
        <w:t xml:space="preserve">For example, for MAC CE based TCI state activation, </w:t>
      </w:r>
      <w:r w:rsidRPr="004B55EE">
        <w:rPr>
          <w:rFonts w:ascii="Times New Roman" w:hAnsi="Times New Roman"/>
          <w:sz w:val="22"/>
          <w:szCs w:val="22"/>
        </w:rPr>
        <w:t>the delay is based on HARQ delay and additional 3ms</w:t>
      </w:r>
      <w:r w:rsidR="00EE0B24" w:rsidRPr="004B55EE">
        <w:rPr>
          <w:rFonts w:ascii="Times New Roman" w:hAnsi="Times New Roman"/>
          <w:sz w:val="22"/>
          <w:szCs w:val="22"/>
        </w:rPr>
        <w:t>, if the TCI state is known</w:t>
      </w:r>
      <w:r w:rsidRPr="004B55EE">
        <w:rPr>
          <w:rFonts w:ascii="Times New Roman" w:hAnsi="Times New Roman"/>
          <w:sz w:val="22"/>
          <w:szCs w:val="22"/>
        </w:rPr>
        <w:t>. However, if the TCI state is unknown, the delay is based on measurement type, QC</w:t>
      </w:r>
      <w:r w:rsidR="00EE0B24" w:rsidRPr="004B55EE">
        <w:rPr>
          <w:rFonts w:ascii="Times New Roman" w:hAnsi="Times New Roman"/>
          <w:sz w:val="22"/>
          <w:szCs w:val="22"/>
        </w:rPr>
        <w:t>L</w:t>
      </w:r>
      <w:r w:rsidRPr="004B55EE">
        <w:rPr>
          <w:rFonts w:ascii="Times New Roman" w:hAnsi="Times New Roman"/>
          <w:sz w:val="22"/>
          <w:szCs w:val="22"/>
        </w:rPr>
        <w:t xml:space="preserve"> type, RS type and measurement</w:t>
      </w:r>
      <w:r w:rsidRPr="009315C6">
        <w:rPr>
          <w:rFonts w:ascii="Times New Roman" w:hAnsi="Times New Roman"/>
          <w:sz w:val="22"/>
          <w:szCs w:val="22"/>
        </w:rPr>
        <w:t xml:space="preserve"> time. As general activation details are </w:t>
      </w:r>
      <w:r w:rsidR="00A56321" w:rsidRPr="009315C6">
        <w:rPr>
          <w:rFonts w:ascii="Times New Roman" w:hAnsi="Times New Roman"/>
          <w:sz w:val="22"/>
          <w:szCs w:val="22"/>
        </w:rPr>
        <w:t>specified</w:t>
      </w:r>
      <w:r w:rsidRPr="009315C6">
        <w:rPr>
          <w:rFonts w:ascii="Times New Roman" w:hAnsi="Times New Roman"/>
          <w:sz w:val="22"/>
          <w:szCs w:val="22"/>
        </w:rPr>
        <w:t xml:space="preserve"> in RAN4, it is preferred to discuss </w:t>
      </w:r>
      <w:r w:rsidR="00A56321" w:rsidRPr="009315C6">
        <w:rPr>
          <w:rFonts w:ascii="Times New Roman" w:hAnsi="Times New Roman"/>
          <w:sz w:val="22"/>
          <w:szCs w:val="22"/>
        </w:rPr>
        <w:t xml:space="preserve">whether/how to reduce </w:t>
      </w:r>
      <w:r w:rsidRPr="009315C6">
        <w:rPr>
          <w:rFonts w:ascii="Times New Roman" w:hAnsi="Times New Roman"/>
          <w:sz w:val="22"/>
          <w:szCs w:val="22"/>
        </w:rPr>
        <w:t xml:space="preserve">latency for MAC CE based activation </w:t>
      </w:r>
      <w:r w:rsidR="00A56321" w:rsidRPr="009315C6">
        <w:rPr>
          <w:rFonts w:ascii="Times New Roman" w:hAnsi="Times New Roman"/>
          <w:sz w:val="22"/>
          <w:szCs w:val="22"/>
        </w:rPr>
        <w:t xml:space="preserve">methods </w:t>
      </w:r>
      <w:r w:rsidRPr="009315C6">
        <w:rPr>
          <w:rFonts w:ascii="Times New Roman" w:hAnsi="Times New Roman"/>
          <w:sz w:val="22"/>
          <w:szCs w:val="22"/>
        </w:rPr>
        <w:t xml:space="preserve">in RAN4. </w:t>
      </w:r>
    </w:p>
    <w:p w14:paraId="5DBDFD64" w14:textId="1804C697" w:rsidR="00710FC4" w:rsidRDefault="00710FC4" w:rsidP="000C16BB">
      <w:pPr>
        <w:pStyle w:val="BodyText"/>
        <w:spacing w:after="60"/>
        <w:rPr>
          <w:rFonts w:ascii="Times New Roman" w:hAnsi="Times New Roman"/>
          <w:sz w:val="22"/>
          <w:szCs w:val="22"/>
        </w:rPr>
      </w:pPr>
    </w:p>
    <w:p w14:paraId="537C6FB8" w14:textId="1EAE75DF" w:rsidR="00940C24" w:rsidRDefault="00940C24" w:rsidP="00940C24">
      <w:pPr>
        <w:spacing w:after="0"/>
        <w:contextualSpacing/>
        <w:jc w:val="both"/>
        <w:rPr>
          <w:bCs/>
          <w:i/>
          <w:sz w:val="22"/>
        </w:rPr>
      </w:pPr>
      <w:r w:rsidRPr="00B91B7E">
        <w:rPr>
          <w:b/>
          <w:i/>
          <w:sz w:val="22"/>
        </w:rPr>
        <w:t xml:space="preserve">Proposal </w:t>
      </w:r>
      <w:r>
        <w:rPr>
          <w:b/>
          <w:i/>
          <w:sz w:val="22"/>
        </w:rPr>
        <w:t>3</w:t>
      </w:r>
      <w:r w:rsidRPr="00B91B7E">
        <w:rPr>
          <w:b/>
          <w:i/>
          <w:sz w:val="22"/>
        </w:rPr>
        <w:t>:</w:t>
      </w:r>
      <w:r w:rsidRPr="00B91B7E">
        <w:rPr>
          <w:bCs/>
          <w:i/>
          <w:sz w:val="22"/>
        </w:rPr>
        <w:t xml:space="preserve"> </w:t>
      </w:r>
      <w:r>
        <w:rPr>
          <w:bCs/>
          <w:i/>
          <w:sz w:val="22"/>
        </w:rPr>
        <w:t xml:space="preserve">For group 2, it is preferred to discuss latency reduction of MAC CE related activation in RAN4. </w:t>
      </w:r>
    </w:p>
    <w:p w14:paraId="25ECB31F" w14:textId="04A06E34" w:rsidR="00940C24" w:rsidRDefault="00940C24" w:rsidP="00940C24">
      <w:pPr>
        <w:spacing w:after="0"/>
        <w:contextualSpacing/>
        <w:jc w:val="both"/>
        <w:rPr>
          <w:bCs/>
          <w:i/>
          <w:sz w:val="22"/>
        </w:rPr>
      </w:pPr>
    </w:p>
    <w:p w14:paraId="19B06E60" w14:textId="77777777" w:rsidR="00940C24" w:rsidRPr="00B91B7E" w:rsidRDefault="00940C24" w:rsidP="00940C24">
      <w:pPr>
        <w:spacing w:after="0"/>
        <w:contextualSpacing/>
        <w:jc w:val="both"/>
        <w:rPr>
          <w:bCs/>
          <w:i/>
          <w:sz w:val="22"/>
          <w:lang w:eastAsia="ko-KR"/>
        </w:rPr>
      </w:pPr>
    </w:p>
    <w:p w14:paraId="49313895" w14:textId="2CE6B52B" w:rsidR="00292D52" w:rsidRPr="00AC5215" w:rsidRDefault="00292D52" w:rsidP="00292D52">
      <w:pPr>
        <w:pStyle w:val="BodyText"/>
        <w:spacing w:after="60"/>
        <w:rPr>
          <w:rFonts w:ascii="Times New Roman" w:hAnsi="Times New Roman"/>
          <w:b/>
          <w:bCs/>
          <w:sz w:val="22"/>
          <w:szCs w:val="22"/>
          <w:u w:val="single"/>
        </w:rPr>
      </w:pPr>
      <w:r>
        <w:rPr>
          <w:rFonts w:ascii="Times New Roman" w:hAnsi="Times New Roman"/>
          <w:b/>
          <w:bCs/>
          <w:sz w:val="22"/>
          <w:szCs w:val="22"/>
          <w:u w:val="single"/>
        </w:rPr>
        <w:t>DCI formats for separate UL beam indication</w:t>
      </w:r>
    </w:p>
    <w:p w14:paraId="7C8EFE9C" w14:textId="5ED3A6A0" w:rsidR="00292D52" w:rsidRDefault="00292D52" w:rsidP="00292D52">
      <w:pPr>
        <w:pStyle w:val="BodyText"/>
        <w:spacing w:after="60"/>
        <w:rPr>
          <w:rFonts w:ascii="Times New Roman" w:hAnsi="Times New Roman"/>
          <w:sz w:val="22"/>
          <w:szCs w:val="22"/>
        </w:rPr>
      </w:pPr>
      <w:r>
        <w:rPr>
          <w:rFonts w:ascii="Times New Roman" w:hAnsi="Times New Roman"/>
          <w:sz w:val="22"/>
          <w:szCs w:val="22"/>
        </w:rPr>
        <w:tab/>
        <w:t>When gNB utilizes the existing DCI formats 1_1 and 1_2 for separate UL beam indication, the overall operation may not be efficient as the existing DCI formats 1_1 and 1_2 are DL DCI formats. Figure</w:t>
      </w:r>
      <w:r w:rsidR="00713148">
        <w:rPr>
          <w:rFonts w:ascii="Times New Roman" w:hAnsi="Times New Roman"/>
          <w:sz w:val="22"/>
          <w:szCs w:val="22"/>
        </w:rPr>
        <w:t>s</w:t>
      </w:r>
      <w:r>
        <w:rPr>
          <w:rFonts w:ascii="Times New Roman" w:hAnsi="Times New Roman"/>
          <w:sz w:val="22"/>
          <w:szCs w:val="22"/>
        </w:rPr>
        <w:t xml:space="preserve"> 1 </w:t>
      </w:r>
      <w:r w:rsidR="00713148">
        <w:rPr>
          <w:rFonts w:ascii="Times New Roman" w:hAnsi="Times New Roman"/>
          <w:sz w:val="22"/>
          <w:szCs w:val="22"/>
        </w:rPr>
        <w:t xml:space="preserve">– 2 </w:t>
      </w:r>
      <w:r>
        <w:rPr>
          <w:rFonts w:ascii="Times New Roman" w:hAnsi="Times New Roman"/>
          <w:sz w:val="22"/>
          <w:szCs w:val="22"/>
        </w:rPr>
        <w:t>show exemplary operation</w:t>
      </w:r>
      <w:r w:rsidR="00713148">
        <w:rPr>
          <w:rFonts w:ascii="Times New Roman" w:hAnsi="Times New Roman"/>
          <w:sz w:val="22"/>
          <w:szCs w:val="22"/>
        </w:rPr>
        <w:t>s</w:t>
      </w:r>
      <w:r>
        <w:rPr>
          <w:rFonts w:ascii="Times New Roman" w:hAnsi="Times New Roman"/>
          <w:sz w:val="22"/>
          <w:szCs w:val="22"/>
        </w:rPr>
        <w:t xml:space="preserve"> with the </w:t>
      </w:r>
      <w:r w:rsidR="00713148">
        <w:rPr>
          <w:rFonts w:ascii="Times New Roman" w:hAnsi="Times New Roman"/>
          <w:sz w:val="22"/>
          <w:szCs w:val="22"/>
        </w:rPr>
        <w:t>D</w:t>
      </w:r>
      <w:r>
        <w:rPr>
          <w:rFonts w:ascii="Times New Roman" w:hAnsi="Times New Roman"/>
          <w:sz w:val="22"/>
          <w:szCs w:val="22"/>
        </w:rPr>
        <w:t xml:space="preserve">CI formats </w:t>
      </w:r>
      <w:r w:rsidR="00713148">
        <w:rPr>
          <w:rFonts w:ascii="Times New Roman" w:hAnsi="Times New Roman"/>
          <w:sz w:val="22"/>
          <w:szCs w:val="22"/>
        </w:rPr>
        <w:t xml:space="preserve">1_1/1_2 and the DCI formats 0_1/0_2, respectively, </w:t>
      </w:r>
      <w:r>
        <w:rPr>
          <w:rFonts w:ascii="Times New Roman" w:hAnsi="Times New Roman"/>
          <w:sz w:val="22"/>
          <w:szCs w:val="22"/>
        </w:rPr>
        <w:t xml:space="preserve">for separate UL beam indication. </w:t>
      </w:r>
    </w:p>
    <w:p w14:paraId="19931F12" w14:textId="685AD3DB"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Separate UL beam indication with DCI formats 1_1 and 1_2</w:t>
      </w:r>
    </w:p>
    <w:p w14:paraId="6A0E55D2" w14:textId="5B5A0018" w:rsidR="00292D52" w:rsidRDefault="00292D52"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0C48168D" wp14:editId="4AACAACC">
            <wp:extent cx="5396545" cy="183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6770" cy="1838773"/>
                    </a:xfrm>
                    <a:prstGeom prst="rect">
                      <a:avLst/>
                    </a:prstGeom>
                    <a:noFill/>
                  </pic:spPr>
                </pic:pic>
              </a:graphicData>
            </a:graphic>
          </wp:inline>
        </w:drawing>
      </w:r>
    </w:p>
    <w:p w14:paraId="2DE3B0F1" w14:textId="787F05E9"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2</w:t>
      </w:r>
      <w:r w:rsidRPr="001E23A0">
        <w:rPr>
          <w:rFonts w:ascii="Arial" w:hAnsi="Arial" w:cs="Arial"/>
        </w:rPr>
        <w:t xml:space="preserve"> </w:t>
      </w:r>
      <w:r>
        <w:rPr>
          <w:rFonts w:ascii="Arial" w:hAnsi="Arial" w:cs="Arial"/>
          <w:b w:val="0"/>
          <w:bCs w:val="0"/>
        </w:rPr>
        <w:t>Separate UL beam indication with DCI formats 0_1 and 0_2</w:t>
      </w:r>
    </w:p>
    <w:p w14:paraId="0E1059D9" w14:textId="722D16FA" w:rsidR="00292D52" w:rsidRPr="00292D52" w:rsidRDefault="00D4360A"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2E402946" wp14:editId="17D50874">
            <wp:extent cx="3960949" cy="17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0473" cy="1785513"/>
                    </a:xfrm>
                    <a:prstGeom prst="rect">
                      <a:avLst/>
                    </a:prstGeom>
                    <a:noFill/>
                  </pic:spPr>
                </pic:pic>
              </a:graphicData>
            </a:graphic>
          </wp:inline>
        </w:drawing>
      </w:r>
    </w:p>
    <w:p w14:paraId="4596A5BA" w14:textId="6478B240" w:rsidR="00713148" w:rsidRDefault="00713148" w:rsidP="00713148">
      <w:pPr>
        <w:pStyle w:val="BodyText"/>
        <w:spacing w:after="60"/>
        <w:rPr>
          <w:rFonts w:ascii="Times New Roman" w:hAnsi="Times New Roman"/>
          <w:sz w:val="22"/>
          <w:szCs w:val="22"/>
          <w:lang w:val="en-GB"/>
        </w:rPr>
      </w:pPr>
      <w:r>
        <w:rPr>
          <w:rFonts w:ascii="Times New Roman" w:hAnsi="Times New Roman"/>
          <w:sz w:val="22"/>
          <w:szCs w:val="22"/>
          <w:lang w:val="en-GB"/>
        </w:rPr>
        <w:tab/>
        <w:t xml:space="preserve">As shown in Figure 1, when gNB utilizes the DCI formats 1_1 and 1_2, UE needs to decode both DL DCI for </w:t>
      </w:r>
      <w:r w:rsidR="00F61ACB">
        <w:rPr>
          <w:rFonts w:ascii="Times New Roman" w:hAnsi="Times New Roman"/>
          <w:sz w:val="22"/>
          <w:szCs w:val="22"/>
          <w:lang w:val="en-GB"/>
        </w:rPr>
        <w:t xml:space="preserve">new </w:t>
      </w:r>
      <w:r>
        <w:rPr>
          <w:rFonts w:ascii="Times New Roman" w:hAnsi="Times New Roman"/>
          <w:sz w:val="22"/>
          <w:szCs w:val="22"/>
          <w:lang w:val="en-GB"/>
        </w:rPr>
        <w:t xml:space="preserve">beam indication and UL DCI for PUSCH scheduling. In addition, UL scheduling offset and processing time for </w:t>
      </w:r>
      <w:r>
        <w:rPr>
          <w:rFonts w:ascii="Times New Roman" w:hAnsi="Times New Roman"/>
          <w:sz w:val="22"/>
          <w:szCs w:val="22"/>
          <w:lang w:val="en-GB"/>
        </w:rPr>
        <w:lastRenderedPageBreak/>
        <w:t xml:space="preserve">new beam application should be independently applied as </w:t>
      </w:r>
      <w:r w:rsidR="00F61ACB">
        <w:rPr>
          <w:rFonts w:ascii="Times New Roman" w:hAnsi="Times New Roman"/>
          <w:sz w:val="22"/>
          <w:szCs w:val="22"/>
          <w:lang w:val="en-GB"/>
        </w:rPr>
        <w:t xml:space="preserve">the new </w:t>
      </w:r>
      <w:r>
        <w:rPr>
          <w:rFonts w:ascii="Times New Roman" w:hAnsi="Times New Roman"/>
          <w:sz w:val="22"/>
          <w:szCs w:val="22"/>
          <w:lang w:val="en-GB"/>
        </w:rPr>
        <w:t xml:space="preserve">beam indication and </w:t>
      </w:r>
      <w:r w:rsidR="00F61ACB">
        <w:rPr>
          <w:rFonts w:ascii="Times New Roman" w:hAnsi="Times New Roman"/>
          <w:sz w:val="22"/>
          <w:szCs w:val="22"/>
          <w:lang w:val="en-GB"/>
        </w:rPr>
        <w:t>the PUSCH</w:t>
      </w:r>
      <w:r>
        <w:rPr>
          <w:rFonts w:ascii="Times New Roman" w:hAnsi="Times New Roman"/>
          <w:sz w:val="22"/>
          <w:szCs w:val="22"/>
          <w:lang w:val="en-GB"/>
        </w:rPr>
        <w:t xml:space="preserve"> utilize different DCI formats. On the other hand, </w:t>
      </w:r>
      <w:r w:rsidR="009A7A56">
        <w:rPr>
          <w:rFonts w:ascii="Times New Roman" w:hAnsi="Times New Roman"/>
          <w:sz w:val="22"/>
          <w:szCs w:val="22"/>
          <w:lang w:val="en-GB"/>
        </w:rPr>
        <w:t xml:space="preserve">when gNB utilizes the DCI formats 0_1 and 0_2 </w:t>
      </w:r>
      <w:r w:rsidR="00F61ACB">
        <w:rPr>
          <w:rFonts w:ascii="Times New Roman" w:hAnsi="Times New Roman"/>
          <w:sz w:val="22"/>
          <w:szCs w:val="22"/>
          <w:lang w:val="en-GB"/>
        </w:rPr>
        <w:t xml:space="preserve">for both new beam indication and PUSCH scheduling </w:t>
      </w:r>
      <w:r>
        <w:rPr>
          <w:rFonts w:ascii="Times New Roman" w:hAnsi="Times New Roman"/>
          <w:sz w:val="22"/>
          <w:szCs w:val="22"/>
          <w:lang w:val="en-GB"/>
        </w:rPr>
        <w:t xml:space="preserve">as shown in Figure 2, </w:t>
      </w:r>
      <w:r w:rsidR="009A7A56">
        <w:rPr>
          <w:rFonts w:ascii="Times New Roman" w:hAnsi="Times New Roman"/>
          <w:sz w:val="22"/>
          <w:szCs w:val="22"/>
          <w:lang w:val="en-GB"/>
        </w:rPr>
        <w:t xml:space="preserve">UE needs to decode only UL DCI, so PDCCH decoding latency can be reduced. In addition, processing time for PUSCH transmission and new beam application can be combined if UE </w:t>
      </w:r>
      <w:r w:rsidR="00F61ACB">
        <w:rPr>
          <w:rFonts w:ascii="Times New Roman" w:hAnsi="Times New Roman"/>
          <w:sz w:val="22"/>
          <w:szCs w:val="22"/>
          <w:lang w:val="en-GB"/>
        </w:rPr>
        <w:t xml:space="preserve">implementation allows </w:t>
      </w:r>
      <w:r w:rsidR="009A7A56">
        <w:rPr>
          <w:rFonts w:ascii="Times New Roman" w:hAnsi="Times New Roman"/>
          <w:sz w:val="22"/>
          <w:szCs w:val="22"/>
          <w:lang w:val="en-GB"/>
        </w:rPr>
        <w:t>simultaneous process</w:t>
      </w:r>
      <w:r w:rsidR="00F61ACB">
        <w:rPr>
          <w:rFonts w:ascii="Times New Roman" w:hAnsi="Times New Roman"/>
          <w:sz w:val="22"/>
          <w:szCs w:val="22"/>
          <w:lang w:val="en-GB"/>
        </w:rPr>
        <w:t>ing of</w:t>
      </w:r>
      <w:r w:rsidR="009A7A56">
        <w:rPr>
          <w:rFonts w:ascii="Times New Roman" w:hAnsi="Times New Roman"/>
          <w:sz w:val="22"/>
          <w:szCs w:val="22"/>
          <w:lang w:val="en-GB"/>
        </w:rPr>
        <w:t xml:space="preserve"> both operations.  </w:t>
      </w:r>
    </w:p>
    <w:p w14:paraId="54E135A4" w14:textId="2A24538B" w:rsidR="00713148" w:rsidRDefault="00713148" w:rsidP="00713148">
      <w:pPr>
        <w:pStyle w:val="BodyText"/>
        <w:spacing w:after="60"/>
        <w:rPr>
          <w:rFonts w:ascii="Times New Roman" w:hAnsi="Times New Roman"/>
          <w:sz w:val="22"/>
          <w:szCs w:val="22"/>
          <w:lang w:val="en-GB"/>
        </w:rPr>
      </w:pPr>
    </w:p>
    <w:p w14:paraId="45AC32D4" w14:textId="25CE6A2E" w:rsidR="005B321E" w:rsidRPr="00B91B7E" w:rsidRDefault="005B321E" w:rsidP="005B321E">
      <w:pPr>
        <w:spacing w:after="0"/>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 xml:space="preserve">For separate UL beam indication, utilization of existing UL DCI formats </w:t>
      </w:r>
      <w:r w:rsidR="00F61ACB">
        <w:rPr>
          <w:i/>
          <w:sz w:val="22"/>
        </w:rPr>
        <w:t xml:space="preserve">0_1 and 0_2 </w:t>
      </w:r>
      <w:r w:rsidR="00161F89">
        <w:rPr>
          <w:i/>
          <w:sz w:val="22"/>
        </w:rPr>
        <w:t>is</w:t>
      </w:r>
      <w:r>
        <w:rPr>
          <w:i/>
          <w:sz w:val="22"/>
        </w:rPr>
        <w:t xml:space="preserve"> more efficient as it doesn’t require multiple PDCCH decoding and combined UE processing </w:t>
      </w:r>
      <w:r w:rsidR="00117514">
        <w:rPr>
          <w:i/>
          <w:sz w:val="22"/>
        </w:rPr>
        <w:t xml:space="preserve">time is possible </w:t>
      </w:r>
      <w:r>
        <w:rPr>
          <w:i/>
          <w:sz w:val="22"/>
        </w:rPr>
        <w:t xml:space="preserve">if UE </w:t>
      </w:r>
      <w:r w:rsidR="008737EC">
        <w:rPr>
          <w:i/>
          <w:sz w:val="22"/>
        </w:rPr>
        <w:t>implementation allows simultaneous processing</w:t>
      </w:r>
      <w:r w:rsidRPr="00B91B7E">
        <w:rPr>
          <w:i/>
          <w:sz w:val="22"/>
        </w:rPr>
        <w:t>.</w:t>
      </w:r>
    </w:p>
    <w:p w14:paraId="7A26B8E4" w14:textId="77777777" w:rsidR="005B321E" w:rsidRPr="00B91B7E" w:rsidRDefault="005B321E" w:rsidP="005B321E">
      <w:pPr>
        <w:spacing w:after="0"/>
        <w:contextualSpacing/>
        <w:jc w:val="both"/>
      </w:pPr>
    </w:p>
    <w:p w14:paraId="3A9006C7" w14:textId="6AE74E3E" w:rsidR="005B321E" w:rsidRPr="00B91B7E" w:rsidRDefault="005B321E" w:rsidP="005B321E">
      <w:pPr>
        <w:spacing w:after="0"/>
        <w:contextualSpacing/>
        <w:jc w:val="both"/>
        <w:rPr>
          <w:bCs/>
          <w:i/>
          <w:sz w:val="22"/>
        </w:rPr>
      </w:pPr>
      <w:r w:rsidRPr="00B91B7E">
        <w:rPr>
          <w:b/>
          <w:i/>
          <w:sz w:val="22"/>
        </w:rPr>
        <w:t xml:space="preserve">Proposal </w:t>
      </w:r>
      <w:r w:rsidR="000F1C23">
        <w:rPr>
          <w:b/>
          <w:i/>
          <w:sz w:val="22"/>
        </w:rPr>
        <w:t>4</w:t>
      </w:r>
      <w:r w:rsidRPr="00B91B7E">
        <w:rPr>
          <w:b/>
          <w:i/>
          <w:sz w:val="22"/>
        </w:rPr>
        <w:t>:</w:t>
      </w:r>
      <w:r w:rsidRPr="00B91B7E">
        <w:rPr>
          <w:bCs/>
          <w:i/>
          <w:sz w:val="22"/>
        </w:rPr>
        <w:t xml:space="preserve"> </w:t>
      </w:r>
      <w:r w:rsidR="00161F89">
        <w:rPr>
          <w:bCs/>
          <w:i/>
          <w:sz w:val="22"/>
        </w:rPr>
        <w:t>For separate UL beam indication, utilization of the existing UL DCI formats 0_1 and 0_2 is preferred.</w:t>
      </w:r>
    </w:p>
    <w:p w14:paraId="4EA5B20B" w14:textId="67AA7372" w:rsidR="005B321E" w:rsidRDefault="005B321E" w:rsidP="00713148">
      <w:pPr>
        <w:pStyle w:val="BodyText"/>
        <w:spacing w:after="60"/>
        <w:rPr>
          <w:rFonts w:ascii="Times New Roman" w:hAnsi="Times New Roman"/>
          <w:sz w:val="22"/>
          <w:szCs w:val="22"/>
          <w:lang w:val="en-GB"/>
        </w:rPr>
      </w:pPr>
    </w:p>
    <w:p w14:paraId="111BC910" w14:textId="0D7E3C93" w:rsidR="005E15A4" w:rsidRPr="005E15A4" w:rsidRDefault="00AD2EE0" w:rsidP="00713148">
      <w:pPr>
        <w:pStyle w:val="BodyText"/>
        <w:spacing w:after="60"/>
        <w:rPr>
          <w:rFonts w:ascii="Times New Roman" w:hAnsi="Times New Roman"/>
          <w:b/>
          <w:bCs/>
          <w:sz w:val="22"/>
          <w:szCs w:val="22"/>
          <w:u w:val="single"/>
          <w:lang w:val="en-GB"/>
        </w:rPr>
      </w:pPr>
      <w:r>
        <w:rPr>
          <w:rFonts w:ascii="Times New Roman" w:hAnsi="Times New Roman"/>
          <w:b/>
          <w:bCs/>
          <w:sz w:val="22"/>
          <w:szCs w:val="22"/>
          <w:u w:val="single"/>
          <w:lang w:val="en-GB"/>
        </w:rPr>
        <w:t>Beam a</w:t>
      </w:r>
      <w:r w:rsidR="005E15A4" w:rsidRPr="005E15A4">
        <w:rPr>
          <w:rFonts w:ascii="Times New Roman" w:hAnsi="Times New Roman"/>
          <w:b/>
          <w:bCs/>
          <w:sz w:val="22"/>
          <w:szCs w:val="22"/>
          <w:u w:val="single"/>
          <w:lang w:val="en-GB"/>
        </w:rPr>
        <w:t>pplication time for unified TCI framework</w:t>
      </w:r>
    </w:p>
    <w:p w14:paraId="1370FFFC" w14:textId="5CA7A16D" w:rsidR="005E15A4" w:rsidRDefault="000C0BEF" w:rsidP="00D4360A">
      <w:pPr>
        <w:pStyle w:val="BodyText"/>
        <w:spacing w:after="60"/>
        <w:ind w:firstLine="288"/>
        <w:rPr>
          <w:rFonts w:ascii="Times New Roman" w:hAnsi="Times New Roman"/>
          <w:sz w:val="22"/>
          <w:szCs w:val="22"/>
          <w:lang w:val="en-GB"/>
        </w:rPr>
      </w:pPr>
      <w:r>
        <w:rPr>
          <w:rFonts w:ascii="Times New Roman" w:hAnsi="Times New Roman"/>
          <w:sz w:val="22"/>
          <w:szCs w:val="22"/>
          <w:lang w:val="en-GB"/>
        </w:rPr>
        <w:t>R</w:t>
      </w:r>
      <w:r w:rsidR="00D4360A">
        <w:rPr>
          <w:rFonts w:ascii="Times New Roman" w:hAnsi="Times New Roman"/>
          <w:sz w:val="22"/>
          <w:szCs w:val="22"/>
          <w:lang w:val="en-GB"/>
        </w:rPr>
        <w:t xml:space="preserve">egarding application time of the beam indication, </w:t>
      </w:r>
      <w:r w:rsidR="001B2F96">
        <w:rPr>
          <w:rFonts w:ascii="Times New Roman" w:hAnsi="Times New Roman"/>
          <w:sz w:val="22"/>
          <w:szCs w:val="22"/>
          <w:lang w:val="en-GB"/>
        </w:rPr>
        <w:t>Alt2</w:t>
      </w:r>
      <w:r w:rsidR="00256833">
        <w:rPr>
          <w:rFonts w:ascii="Times New Roman" w:hAnsi="Times New Roman"/>
          <w:sz w:val="22"/>
          <w:szCs w:val="22"/>
          <w:lang w:val="en-GB"/>
        </w:rPr>
        <w:t>A</w:t>
      </w:r>
      <w:r w:rsidR="001B2F96">
        <w:rPr>
          <w:rFonts w:ascii="Times New Roman" w:hAnsi="Times New Roman"/>
          <w:sz w:val="22"/>
          <w:szCs w:val="22"/>
          <w:lang w:val="en-GB"/>
        </w:rPr>
        <w:t xml:space="preserve"> </w:t>
      </w:r>
      <w:r w:rsidR="00256833">
        <w:rPr>
          <w:rFonts w:ascii="Times New Roman" w:hAnsi="Times New Roman"/>
          <w:sz w:val="22"/>
          <w:szCs w:val="22"/>
          <w:lang w:val="en-GB"/>
        </w:rPr>
        <w:t xml:space="preserve">listed </w:t>
      </w:r>
      <w:r w:rsidR="001B2F96">
        <w:rPr>
          <w:rFonts w:ascii="Times New Roman" w:hAnsi="Times New Roman"/>
          <w:sz w:val="22"/>
          <w:szCs w:val="22"/>
          <w:lang w:val="en-GB"/>
        </w:rPr>
        <w:t xml:space="preserve">in </w:t>
      </w:r>
      <w:r w:rsidR="00256833">
        <w:rPr>
          <w:rFonts w:ascii="Times New Roman" w:hAnsi="Times New Roman"/>
          <w:sz w:val="22"/>
          <w:szCs w:val="22"/>
          <w:lang w:val="en-GB"/>
        </w:rPr>
        <w:t xml:space="preserve">an agreement made in </w:t>
      </w:r>
      <w:r w:rsidR="001B2F96">
        <w:rPr>
          <w:rFonts w:ascii="Times New Roman" w:hAnsi="Times New Roman"/>
          <w:sz w:val="22"/>
          <w:szCs w:val="22"/>
          <w:lang w:val="en-GB"/>
        </w:rPr>
        <w:t>RAN1#10</w:t>
      </w:r>
      <w:r w:rsidR="00256833">
        <w:rPr>
          <w:rFonts w:ascii="Times New Roman" w:hAnsi="Times New Roman"/>
          <w:sz w:val="22"/>
          <w:szCs w:val="22"/>
          <w:lang w:val="en-GB"/>
        </w:rPr>
        <w:t>4</w:t>
      </w:r>
      <w:r w:rsidR="001B2F96">
        <w:rPr>
          <w:rFonts w:ascii="Times New Roman" w:hAnsi="Times New Roman"/>
          <w:sz w:val="22"/>
          <w:szCs w:val="22"/>
          <w:lang w:val="en-GB"/>
        </w:rPr>
        <w:t>-e</w:t>
      </w:r>
      <w:r w:rsidR="008909C3">
        <w:rPr>
          <w:rFonts w:ascii="Times New Roman" w:hAnsi="Times New Roman"/>
          <w:sz w:val="22"/>
          <w:szCs w:val="22"/>
          <w:lang w:val="en-GB"/>
        </w:rPr>
        <w:t xml:space="preserve"> [2]</w:t>
      </w:r>
      <w:r w:rsidR="00256833">
        <w:rPr>
          <w:rFonts w:ascii="Times New Roman" w:hAnsi="Times New Roman"/>
          <w:sz w:val="22"/>
          <w:szCs w:val="22"/>
          <w:lang w:val="en-GB"/>
        </w:rPr>
        <w:t xml:space="preserve"> were adopted</w:t>
      </w:r>
      <w:r>
        <w:rPr>
          <w:rFonts w:ascii="Times New Roman" w:hAnsi="Times New Roman"/>
          <w:sz w:val="22"/>
          <w:szCs w:val="22"/>
          <w:lang w:val="en-GB"/>
        </w:rPr>
        <w:t xml:space="preserve"> in RAN1#105-e</w:t>
      </w:r>
      <w:r w:rsidR="00820FE8">
        <w:rPr>
          <w:rFonts w:ascii="Times New Roman" w:hAnsi="Times New Roman"/>
          <w:sz w:val="22"/>
          <w:szCs w:val="22"/>
          <w:lang w:val="en-GB"/>
        </w:rPr>
        <w:t xml:space="preserve"> [1]</w:t>
      </w:r>
      <w:r w:rsidR="00256833">
        <w:rPr>
          <w:rFonts w:ascii="Times New Roman" w:hAnsi="Times New Roman"/>
          <w:sz w:val="22"/>
          <w:szCs w:val="22"/>
          <w:lang w:val="en-GB"/>
        </w:rPr>
        <w:t>, which is shown as follows</w:t>
      </w:r>
      <w:r w:rsidR="00D4360A">
        <w:rPr>
          <w:rFonts w:ascii="Times New Roman" w:hAnsi="Times New Roman"/>
          <w:sz w:val="22"/>
          <w:szCs w:val="22"/>
          <w:lang w:val="en-GB"/>
        </w:rPr>
        <w:t>:</w:t>
      </w:r>
    </w:p>
    <w:p w14:paraId="43F492B8" w14:textId="1D3B249C" w:rsidR="00256833" w:rsidRDefault="00256833" w:rsidP="00D4360A">
      <w:pPr>
        <w:pStyle w:val="BodyText"/>
        <w:spacing w:after="60"/>
        <w:ind w:firstLine="288"/>
        <w:rPr>
          <w:rFonts w:ascii="Times New Roman" w:hAnsi="Times New Roman"/>
          <w:sz w:val="22"/>
          <w:szCs w:val="22"/>
          <w:lang w:val="en-GB"/>
        </w:rPr>
      </w:pPr>
    </w:p>
    <w:p w14:paraId="269485AB" w14:textId="77777777" w:rsidR="00256833" w:rsidRPr="00C35D35" w:rsidRDefault="00256833" w:rsidP="00256833">
      <w:pPr>
        <w:snapToGrid w:val="0"/>
        <w:jc w:val="both"/>
        <w:rPr>
          <w:rFonts w:cs="Times"/>
          <w:i/>
          <w:iCs/>
          <w:lang w:eastAsia="zh-CN"/>
        </w:rPr>
      </w:pPr>
      <w:r w:rsidRPr="00C35D35">
        <w:rPr>
          <w:rFonts w:cs="Times"/>
          <w:i/>
          <w:iCs/>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5A005043" w14:textId="77777777" w:rsidR="00256833" w:rsidRPr="00C35D35" w:rsidRDefault="00256833" w:rsidP="00256833">
      <w:pPr>
        <w:numPr>
          <w:ilvl w:val="0"/>
          <w:numId w:val="29"/>
        </w:numPr>
        <w:overflowPunct/>
        <w:autoSpaceDE/>
        <w:adjustRightInd/>
        <w:snapToGrid w:val="0"/>
        <w:spacing w:after="0"/>
        <w:jc w:val="both"/>
        <w:rPr>
          <w:rFonts w:cs="Times"/>
          <w:i/>
          <w:iCs/>
          <w:lang w:eastAsia="zh-CN"/>
        </w:rPr>
      </w:pPr>
      <w:r w:rsidRPr="00C35D35">
        <w:rPr>
          <w:rFonts w:cs="Times"/>
          <w:i/>
          <w:iCs/>
          <w:lang w:eastAsia="zh-CN"/>
        </w:rPr>
        <w:t xml:space="preserve">Alt2A: the first slot that is at least X </w:t>
      </w:r>
      <w:proofErr w:type="spellStart"/>
      <w:r w:rsidRPr="00C35D35">
        <w:rPr>
          <w:rFonts w:cs="Times"/>
          <w:i/>
          <w:iCs/>
          <w:lang w:eastAsia="zh-CN"/>
        </w:rPr>
        <w:t>ms</w:t>
      </w:r>
      <w:proofErr w:type="spellEnd"/>
      <w:r w:rsidRPr="00C35D35">
        <w:rPr>
          <w:rFonts w:cs="Times"/>
          <w:i/>
          <w:iCs/>
          <w:lang w:eastAsia="zh-CN"/>
        </w:rPr>
        <w:t xml:space="preserve"> or Y symbols after the </w:t>
      </w:r>
      <w:r w:rsidRPr="00C35D35">
        <w:rPr>
          <w:rFonts w:cs="Times"/>
          <w:i/>
          <w:iCs/>
          <w:strike/>
          <w:lang w:eastAsia="zh-CN"/>
        </w:rPr>
        <w:t>[first/</w:t>
      </w:r>
      <w:r w:rsidRPr="00C35D35">
        <w:rPr>
          <w:rFonts w:cs="Times"/>
          <w:i/>
          <w:iCs/>
          <w:lang w:eastAsia="zh-CN"/>
        </w:rPr>
        <w:t>last</w:t>
      </w:r>
      <w:r w:rsidRPr="00C35D35">
        <w:rPr>
          <w:rFonts w:cs="Times"/>
          <w:i/>
          <w:iCs/>
          <w:strike/>
          <w:lang w:eastAsia="zh-CN"/>
        </w:rPr>
        <w:t>]</w:t>
      </w:r>
      <w:r w:rsidRPr="00C35D35">
        <w:rPr>
          <w:rFonts w:cs="Times"/>
          <w:i/>
          <w:iCs/>
          <w:lang w:eastAsia="zh-CN"/>
        </w:rPr>
        <w:t xml:space="preserve"> symbol of the acknowledgment of the joint or separate DL/UL beam indication </w:t>
      </w:r>
    </w:p>
    <w:p w14:paraId="2B02451C" w14:textId="77777777" w:rsidR="006F24C3" w:rsidRPr="00D4360A" w:rsidRDefault="006F24C3" w:rsidP="006F24C3">
      <w:pPr>
        <w:pStyle w:val="BodyText"/>
        <w:spacing w:after="60"/>
        <w:ind w:left="720"/>
        <w:rPr>
          <w:sz w:val="22"/>
          <w:szCs w:val="22"/>
        </w:rPr>
      </w:pPr>
    </w:p>
    <w:p w14:paraId="2EFCEBA3" w14:textId="629CD168" w:rsidR="00416774" w:rsidRPr="00600436" w:rsidRDefault="001B2F96" w:rsidP="00600436">
      <w:pPr>
        <w:pStyle w:val="BodyText"/>
        <w:spacing w:after="60"/>
        <w:ind w:firstLine="288"/>
        <w:rPr>
          <w:rFonts w:ascii="Times New Roman" w:hAnsi="Times New Roman"/>
          <w:sz w:val="22"/>
          <w:szCs w:val="22"/>
          <w:lang w:val="en-GB"/>
        </w:rPr>
      </w:pPr>
      <w:r w:rsidRPr="00600436">
        <w:rPr>
          <w:rFonts w:ascii="Times New Roman" w:hAnsi="Times New Roman"/>
          <w:sz w:val="22"/>
          <w:szCs w:val="22"/>
          <w:lang w:val="en-GB"/>
        </w:rPr>
        <w:t>It is noted that the gap between the last symbol of the beam indication DCI and that first slot shall satisfy the UE capability</w:t>
      </w:r>
      <w:r w:rsidR="00BB4376" w:rsidRPr="00600436">
        <w:rPr>
          <w:rFonts w:ascii="Times New Roman" w:hAnsi="Times New Roman"/>
          <w:sz w:val="22"/>
          <w:szCs w:val="22"/>
          <w:lang w:val="en-GB"/>
        </w:rPr>
        <w:t xml:space="preserve">. Regarding issues on whether additional offset is needed for the application time in case of cross carrier beam indication and common TCI state ID update across a set of configured CCs if CCs have different SCSs, our view is the UE capability can also take these cases into account without having unnecessarily different </w:t>
      </w:r>
      <w:proofErr w:type="spellStart"/>
      <w:r w:rsidR="00BB4376" w:rsidRPr="00600436">
        <w:rPr>
          <w:rFonts w:ascii="Times New Roman" w:hAnsi="Times New Roman"/>
          <w:sz w:val="22"/>
          <w:szCs w:val="22"/>
          <w:lang w:val="en-GB"/>
        </w:rPr>
        <w:t>behaviors</w:t>
      </w:r>
      <w:proofErr w:type="spellEnd"/>
      <w:r w:rsidR="00BB4376" w:rsidRPr="00600436">
        <w:rPr>
          <w:rFonts w:ascii="Times New Roman" w:hAnsi="Times New Roman"/>
          <w:sz w:val="22"/>
          <w:szCs w:val="22"/>
          <w:lang w:val="en-GB"/>
        </w:rPr>
        <w:t xml:space="preserve"> depending on various application cases.</w:t>
      </w:r>
      <w:r w:rsidR="002A7729">
        <w:rPr>
          <w:rFonts w:ascii="Times New Roman" w:hAnsi="Times New Roman"/>
          <w:sz w:val="22"/>
          <w:szCs w:val="22"/>
          <w:lang w:val="en-GB"/>
        </w:rPr>
        <w:t xml:space="preserve"> Especially for cases of cross carrier beam indication, the current ACK transmission timing from UE has already taken the </w:t>
      </w:r>
      <w:proofErr w:type="gramStart"/>
      <w:r w:rsidR="002A7729">
        <w:rPr>
          <w:rFonts w:ascii="Times New Roman" w:hAnsi="Times New Roman"/>
          <w:sz w:val="22"/>
          <w:szCs w:val="22"/>
          <w:lang w:val="en-GB"/>
        </w:rPr>
        <w:t>cross carrier</w:t>
      </w:r>
      <w:proofErr w:type="gramEnd"/>
      <w:r w:rsidR="002A7729">
        <w:rPr>
          <w:rFonts w:ascii="Times New Roman" w:hAnsi="Times New Roman"/>
          <w:sz w:val="22"/>
          <w:szCs w:val="22"/>
          <w:lang w:val="en-GB"/>
        </w:rPr>
        <w:t xml:space="preserve"> indication into account, and after such an ACK transmission there is no difference in the perspective of the application time of beam indication.</w:t>
      </w:r>
    </w:p>
    <w:p w14:paraId="61E8B23F" w14:textId="0CB9051D" w:rsidR="001B2F96" w:rsidRDefault="002A7729">
      <w:pPr>
        <w:pStyle w:val="BodyText"/>
        <w:spacing w:after="60"/>
        <w:ind w:firstLine="288"/>
        <w:rPr>
          <w:rFonts w:ascii="Times New Roman" w:hAnsi="Times New Roman"/>
          <w:sz w:val="22"/>
          <w:szCs w:val="22"/>
          <w:lang w:val="en-GB"/>
        </w:rPr>
      </w:pPr>
      <w:r>
        <w:rPr>
          <w:rFonts w:ascii="Times New Roman" w:hAnsi="Times New Roman"/>
          <w:sz w:val="22"/>
          <w:szCs w:val="22"/>
          <w:lang w:val="en-GB"/>
        </w:rPr>
        <w:t>R</w:t>
      </w:r>
      <w:r w:rsidR="00BB4376" w:rsidRPr="00600436">
        <w:rPr>
          <w:rFonts w:ascii="Times New Roman" w:hAnsi="Times New Roman"/>
          <w:sz w:val="22"/>
          <w:szCs w:val="22"/>
          <w:lang w:val="en-GB"/>
        </w:rPr>
        <w:t xml:space="preserve">egarding </w:t>
      </w:r>
      <w:r>
        <w:rPr>
          <w:rFonts w:ascii="Times New Roman" w:hAnsi="Times New Roman"/>
          <w:sz w:val="22"/>
          <w:szCs w:val="22"/>
          <w:lang w:val="en-GB"/>
        </w:rPr>
        <w:t xml:space="preserve">another FFS point on </w:t>
      </w:r>
      <w:r w:rsidR="00BB4376" w:rsidRPr="00600436">
        <w:rPr>
          <w:rFonts w:ascii="Times New Roman" w:hAnsi="Times New Roman"/>
          <w:sz w:val="22"/>
          <w:szCs w:val="22"/>
          <w:lang w:val="en-GB"/>
        </w:rPr>
        <w:t xml:space="preserve">whether </w:t>
      </w:r>
      <w:r>
        <w:rPr>
          <w:rFonts w:ascii="Times New Roman" w:hAnsi="Times New Roman"/>
          <w:sz w:val="22"/>
          <w:szCs w:val="22"/>
          <w:lang w:val="en-GB"/>
        </w:rPr>
        <w:t xml:space="preserve">the </w:t>
      </w:r>
      <w:r w:rsidR="00BB4376" w:rsidRPr="00600436">
        <w:rPr>
          <w:rFonts w:ascii="Times New Roman" w:hAnsi="Times New Roman"/>
          <w:sz w:val="22"/>
          <w:szCs w:val="22"/>
          <w:lang w:val="en-GB"/>
        </w:rPr>
        <w:t>application time can be indicated/determined dynamically for different scenarios,</w:t>
      </w:r>
      <w:r>
        <w:rPr>
          <w:rFonts w:ascii="Times New Roman" w:hAnsi="Times New Roman"/>
          <w:sz w:val="22"/>
          <w:szCs w:val="22"/>
          <w:lang w:val="en-GB"/>
        </w:rPr>
        <w:t xml:space="preserve"> </w:t>
      </w:r>
      <w:proofErr w:type="gramStart"/>
      <w:r w:rsidRPr="002A7729">
        <w:rPr>
          <w:rFonts w:ascii="Times New Roman" w:hAnsi="Times New Roman"/>
          <w:sz w:val="22"/>
          <w:szCs w:val="22"/>
          <w:lang w:val="en-GB"/>
        </w:rPr>
        <w:t>e.g.</w:t>
      </w:r>
      <w:proofErr w:type="gramEnd"/>
      <w:r w:rsidRPr="002A7729">
        <w:rPr>
          <w:rFonts w:ascii="Times New Roman" w:hAnsi="Times New Roman"/>
          <w:sz w:val="22"/>
          <w:szCs w:val="22"/>
          <w:lang w:val="en-GB"/>
        </w:rPr>
        <w:t xml:space="preserve"> cross CC, inter-cell, inter-panel</w:t>
      </w:r>
      <w:r>
        <w:rPr>
          <w:rFonts w:ascii="Times New Roman" w:hAnsi="Times New Roman"/>
          <w:sz w:val="22"/>
          <w:szCs w:val="22"/>
          <w:lang w:val="en-GB"/>
        </w:rPr>
        <w:t>,</w:t>
      </w:r>
      <w:r w:rsidR="00600436">
        <w:rPr>
          <w:rFonts w:ascii="Times New Roman" w:hAnsi="Times New Roman"/>
          <w:sz w:val="22"/>
          <w:szCs w:val="22"/>
          <w:lang w:val="en-GB"/>
        </w:rPr>
        <w:t xml:space="preserve"> </w:t>
      </w:r>
      <w:r w:rsidR="00416774">
        <w:rPr>
          <w:rFonts w:ascii="Times New Roman" w:hAnsi="Times New Roman"/>
          <w:sz w:val="22"/>
          <w:szCs w:val="22"/>
          <w:lang w:val="en-GB"/>
        </w:rPr>
        <w:t xml:space="preserve">our view is </w:t>
      </w:r>
      <w:r w:rsidR="00600436">
        <w:rPr>
          <w:rFonts w:ascii="Times New Roman" w:hAnsi="Times New Roman"/>
          <w:sz w:val="22"/>
          <w:szCs w:val="22"/>
          <w:lang w:val="en-GB"/>
        </w:rPr>
        <w:t xml:space="preserve">the case of inter-panel should be properly supported as the processing time across multiple panels may be different, e.g., depending on how many panels are currently active for the UE. For other cases, </w:t>
      </w:r>
      <w:r w:rsidR="00416774">
        <w:rPr>
          <w:rFonts w:ascii="Times New Roman" w:hAnsi="Times New Roman"/>
          <w:sz w:val="22"/>
          <w:szCs w:val="22"/>
          <w:lang w:val="en-GB"/>
        </w:rPr>
        <w:t xml:space="preserve">a consistent beam </w:t>
      </w:r>
      <w:r w:rsidR="007F1625">
        <w:rPr>
          <w:rFonts w:ascii="Times New Roman" w:hAnsi="Times New Roman"/>
          <w:sz w:val="22"/>
          <w:szCs w:val="22"/>
          <w:lang w:val="en-GB"/>
        </w:rPr>
        <w:t>application time based on the above agreement</w:t>
      </w:r>
      <w:r w:rsidR="000C0BEF">
        <w:rPr>
          <w:rFonts w:ascii="Times New Roman" w:hAnsi="Times New Roman"/>
          <w:sz w:val="22"/>
          <w:szCs w:val="22"/>
          <w:lang w:val="en-GB"/>
        </w:rPr>
        <w:t>s</w:t>
      </w:r>
      <w:r w:rsidR="007F1625">
        <w:rPr>
          <w:rFonts w:ascii="Times New Roman" w:hAnsi="Times New Roman"/>
          <w:sz w:val="22"/>
          <w:szCs w:val="22"/>
          <w:lang w:val="en-GB"/>
        </w:rPr>
        <w:t xml:space="preserve"> </w:t>
      </w:r>
      <w:r w:rsidR="00600436">
        <w:rPr>
          <w:rFonts w:ascii="Times New Roman" w:hAnsi="Times New Roman"/>
          <w:sz w:val="22"/>
          <w:szCs w:val="22"/>
          <w:lang w:val="en-GB"/>
        </w:rPr>
        <w:t xml:space="preserve">and proper UE capability </w:t>
      </w:r>
      <w:proofErr w:type="spellStart"/>
      <w:r w:rsidR="00600436">
        <w:rPr>
          <w:rFonts w:ascii="Times New Roman" w:hAnsi="Times New Roman"/>
          <w:sz w:val="22"/>
          <w:szCs w:val="22"/>
          <w:lang w:val="en-GB"/>
        </w:rPr>
        <w:t>signaling</w:t>
      </w:r>
      <w:proofErr w:type="spellEnd"/>
      <w:r w:rsidR="00600436">
        <w:rPr>
          <w:rFonts w:ascii="Times New Roman" w:hAnsi="Times New Roman"/>
          <w:sz w:val="22"/>
          <w:szCs w:val="22"/>
          <w:lang w:val="en-GB"/>
        </w:rPr>
        <w:t xml:space="preserve"> </w:t>
      </w:r>
      <w:r w:rsidR="007F1625">
        <w:rPr>
          <w:rFonts w:ascii="Times New Roman" w:hAnsi="Times New Roman"/>
          <w:sz w:val="22"/>
          <w:szCs w:val="22"/>
          <w:lang w:val="en-GB"/>
        </w:rPr>
        <w:t>can be used with minimized specification impacts.</w:t>
      </w:r>
    </w:p>
    <w:p w14:paraId="6B954B68" w14:textId="77777777" w:rsidR="00967145" w:rsidRPr="00B91B7E" w:rsidRDefault="00967145" w:rsidP="00967145">
      <w:pPr>
        <w:spacing w:after="0"/>
        <w:contextualSpacing/>
        <w:jc w:val="both"/>
      </w:pPr>
    </w:p>
    <w:p w14:paraId="597ACC97" w14:textId="56D51312" w:rsidR="00967145" w:rsidRDefault="00967145" w:rsidP="00967145">
      <w:pPr>
        <w:spacing w:after="0"/>
        <w:contextualSpacing/>
        <w:jc w:val="both"/>
        <w:rPr>
          <w:bCs/>
          <w:i/>
          <w:sz w:val="22"/>
        </w:rPr>
      </w:pPr>
      <w:r w:rsidRPr="00B91B7E">
        <w:rPr>
          <w:b/>
          <w:i/>
          <w:sz w:val="22"/>
        </w:rPr>
        <w:t xml:space="preserve">Proposal </w:t>
      </w:r>
      <w:r w:rsidR="000F1C23">
        <w:rPr>
          <w:b/>
          <w:i/>
          <w:sz w:val="22"/>
        </w:rPr>
        <w:t>5</w:t>
      </w:r>
      <w:r w:rsidRPr="00B91B7E">
        <w:rPr>
          <w:b/>
          <w:i/>
          <w:sz w:val="22"/>
        </w:rPr>
        <w:t>:</w:t>
      </w:r>
      <w:r w:rsidRPr="00B91B7E">
        <w:rPr>
          <w:bCs/>
          <w:i/>
          <w:sz w:val="22"/>
        </w:rPr>
        <w:t xml:space="preserve"> </w:t>
      </w:r>
      <w:r w:rsidR="00131D29">
        <w:rPr>
          <w:i/>
          <w:sz w:val="22"/>
        </w:rPr>
        <w:t>Regarding application time of the beam indication,</w:t>
      </w:r>
      <w:r w:rsidR="000C0BEF">
        <w:rPr>
          <w:i/>
          <w:sz w:val="22"/>
        </w:rPr>
        <w:t xml:space="preserve"> a single X/Y value based on </w:t>
      </w:r>
      <w:r w:rsidR="00131D29">
        <w:rPr>
          <w:i/>
          <w:sz w:val="22"/>
        </w:rPr>
        <w:t>agreements made in RAN1</w:t>
      </w:r>
      <w:r w:rsidR="000C0BEF">
        <w:rPr>
          <w:i/>
          <w:sz w:val="22"/>
        </w:rPr>
        <w:t>#104-e and 105-e is sufficient</w:t>
      </w:r>
      <w:r w:rsidR="00600436">
        <w:rPr>
          <w:i/>
          <w:sz w:val="22"/>
        </w:rPr>
        <w:t xml:space="preserve"> for a single panel case</w:t>
      </w:r>
      <w:r w:rsidR="000C0BEF">
        <w:rPr>
          <w:i/>
          <w:sz w:val="22"/>
        </w:rPr>
        <w:t xml:space="preserve">, as the proper </w:t>
      </w:r>
      <w:r w:rsidR="00131D29">
        <w:rPr>
          <w:i/>
          <w:sz w:val="22"/>
        </w:rPr>
        <w:t xml:space="preserve">UE capability </w:t>
      </w:r>
      <w:proofErr w:type="spellStart"/>
      <w:r w:rsidR="00131D29">
        <w:rPr>
          <w:i/>
          <w:sz w:val="22"/>
        </w:rPr>
        <w:t>signaling</w:t>
      </w:r>
      <w:proofErr w:type="spellEnd"/>
      <w:r w:rsidR="00131D29">
        <w:rPr>
          <w:i/>
          <w:sz w:val="22"/>
        </w:rPr>
        <w:t xml:space="preserve"> </w:t>
      </w:r>
      <w:r w:rsidR="000C0BEF">
        <w:rPr>
          <w:i/>
          <w:sz w:val="22"/>
        </w:rPr>
        <w:t xml:space="preserve">can </w:t>
      </w:r>
      <w:r w:rsidR="00131D29">
        <w:rPr>
          <w:i/>
          <w:sz w:val="22"/>
        </w:rPr>
        <w:t>take various cases into account to have a consistent beam application time with minimized specification impacts</w:t>
      </w:r>
      <w:r>
        <w:rPr>
          <w:bCs/>
          <w:i/>
          <w:sz w:val="22"/>
        </w:rPr>
        <w:t>.</w:t>
      </w:r>
    </w:p>
    <w:p w14:paraId="757CFB32" w14:textId="261A1A22" w:rsidR="00600436" w:rsidRDefault="00600436" w:rsidP="00967145">
      <w:pPr>
        <w:spacing w:after="0"/>
        <w:contextualSpacing/>
        <w:jc w:val="both"/>
        <w:rPr>
          <w:bCs/>
          <w:i/>
          <w:sz w:val="22"/>
        </w:rPr>
      </w:pPr>
    </w:p>
    <w:p w14:paraId="34B72D1D" w14:textId="049F5B93" w:rsidR="00600436" w:rsidRDefault="00600436" w:rsidP="00600436">
      <w:pPr>
        <w:spacing w:after="0"/>
        <w:contextualSpacing/>
        <w:jc w:val="both"/>
        <w:rPr>
          <w:bCs/>
          <w:i/>
          <w:sz w:val="22"/>
        </w:rPr>
      </w:pPr>
      <w:r w:rsidRPr="00B91B7E">
        <w:rPr>
          <w:b/>
          <w:i/>
          <w:sz w:val="22"/>
        </w:rPr>
        <w:t xml:space="preserve">Proposal </w:t>
      </w:r>
      <w:r w:rsidR="000F1C23">
        <w:rPr>
          <w:b/>
          <w:i/>
          <w:sz w:val="22"/>
        </w:rPr>
        <w:t>6</w:t>
      </w:r>
      <w:r w:rsidRPr="00B91B7E">
        <w:rPr>
          <w:b/>
          <w:i/>
          <w:sz w:val="22"/>
        </w:rPr>
        <w:t>:</w:t>
      </w:r>
      <w:r w:rsidRPr="00B91B7E">
        <w:rPr>
          <w:bCs/>
          <w:i/>
          <w:sz w:val="22"/>
        </w:rPr>
        <w:t xml:space="preserve"> </w:t>
      </w:r>
      <w:r>
        <w:rPr>
          <w:i/>
          <w:sz w:val="22"/>
        </w:rPr>
        <w:t xml:space="preserve">The application time of the beam indication can be indicated/determined dynamically for inter-panel cases as </w:t>
      </w:r>
      <w:r w:rsidRPr="00600436">
        <w:rPr>
          <w:i/>
          <w:sz w:val="22"/>
        </w:rPr>
        <w:t>the processing time across multiple panels may be different</w:t>
      </w:r>
      <w:r>
        <w:rPr>
          <w:i/>
          <w:sz w:val="22"/>
        </w:rPr>
        <w:t xml:space="preserve"> depending on UE capability on multiple panels.</w:t>
      </w:r>
    </w:p>
    <w:p w14:paraId="3129BB15" w14:textId="77777777" w:rsidR="009875FB" w:rsidRPr="008C450A" w:rsidRDefault="009875FB" w:rsidP="00967145">
      <w:pPr>
        <w:spacing w:after="0"/>
        <w:contextualSpacing/>
        <w:jc w:val="both"/>
        <w:rPr>
          <w:bCs/>
          <w:iCs/>
          <w:sz w:val="22"/>
          <w:u w:val="single"/>
        </w:rPr>
      </w:pPr>
    </w:p>
    <w:p w14:paraId="223BF410" w14:textId="3993BE3E"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Configuration of SRS for BM as a source RS to represent a DL RX spatial filter</w:t>
      </w:r>
    </w:p>
    <w:p w14:paraId="13C0D37E" w14:textId="23868812" w:rsidR="00F07524" w:rsidRPr="00B91B7E" w:rsidRDefault="00F07524" w:rsidP="00006D5B">
      <w:pPr>
        <w:pStyle w:val="BodyText"/>
        <w:spacing w:after="60"/>
        <w:ind w:firstLine="288"/>
        <w:rPr>
          <w:rFonts w:ascii="Times New Roman" w:hAnsi="Times New Roman"/>
          <w:sz w:val="22"/>
          <w:szCs w:val="22"/>
        </w:rPr>
      </w:pPr>
      <w:r w:rsidRPr="00B91B7E">
        <w:rPr>
          <w:rFonts w:ascii="Times New Roman" w:hAnsi="Times New Roman"/>
          <w:sz w:val="22"/>
          <w:szCs w:val="22"/>
        </w:rPr>
        <w:t>For the configuration of SRS as a source RS to represent a DL RS spatial filter</w:t>
      </w:r>
      <w:r w:rsidR="0005502D" w:rsidRPr="00B91B7E">
        <w:rPr>
          <w:rFonts w:ascii="Times New Roman" w:hAnsi="Times New Roman"/>
          <w:sz w:val="22"/>
          <w:szCs w:val="22"/>
        </w:rPr>
        <w:t>, RAN1</w:t>
      </w:r>
      <w:r w:rsidRPr="00B91B7E">
        <w:rPr>
          <w:rFonts w:ascii="Times New Roman" w:hAnsi="Times New Roman"/>
          <w:sz w:val="22"/>
          <w:szCs w:val="22"/>
        </w:rPr>
        <w:t xml:space="preserve"> should consider following aspects:</w:t>
      </w:r>
    </w:p>
    <w:p w14:paraId="28CC8AE5" w14:textId="0EC0C135"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Beam Correspondence</w:t>
      </w:r>
    </w:p>
    <w:p w14:paraId="49F94E3B" w14:textId="78F9E21C"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Since Rel-15, beam correspondence has been a mandatory UE capability for FR2 where its type of support, i.e., with or without network assistance is indicated through UE capability signaling. Meaning that, for FR2, beam correspondence is an essential feature that all UEs need to support for beam </w:t>
      </w:r>
      <w:r w:rsidRPr="00B91B7E">
        <w:rPr>
          <w:rFonts w:ascii="Times New Roman" w:hAnsi="Times New Roman"/>
          <w:sz w:val="22"/>
          <w:szCs w:val="22"/>
        </w:rPr>
        <w:lastRenderedPageBreak/>
        <w:t>management operation. Based on this understanding, there’s no reason not to utilize existing channel information based on beam correspondence.</w:t>
      </w:r>
    </w:p>
    <w:p w14:paraId="7C3AFB81"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Signaling overhead</w:t>
      </w:r>
    </w:p>
    <w:p w14:paraId="7DCF8E67" w14:textId="6A6DEF05"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For Rel-15 DL TCI state indication, a gNB needs to allocate CSI-RS resources for TCI state indication </w:t>
      </w:r>
      <w:r w:rsidR="003E4241">
        <w:rPr>
          <w:rFonts w:ascii="Times New Roman" w:hAnsi="Times New Roman"/>
          <w:sz w:val="22"/>
          <w:szCs w:val="22"/>
        </w:rPr>
        <w:t xml:space="preserve">even </w:t>
      </w:r>
      <w:r w:rsidR="00B51258">
        <w:rPr>
          <w:rFonts w:ascii="Times New Roman" w:hAnsi="Times New Roman"/>
          <w:sz w:val="22"/>
          <w:szCs w:val="22"/>
        </w:rPr>
        <w:t>if</w:t>
      </w:r>
      <w:r w:rsidR="00AF1477">
        <w:rPr>
          <w:rFonts w:ascii="Times New Roman" w:hAnsi="Times New Roman"/>
          <w:sz w:val="22"/>
          <w:szCs w:val="22"/>
        </w:rPr>
        <w:t xml:space="preserve"> </w:t>
      </w:r>
      <w:r w:rsidRPr="00B91B7E">
        <w:rPr>
          <w:rFonts w:ascii="Times New Roman" w:hAnsi="Times New Roman"/>
          <w:sz w:val="22"/>
          <w:szCs w:val="22"/>
        </w:rPr>
        <w:t xml:space="preserve">the gNB </w:t>
      </w:r>
      <w:r w:rsidR="00B51258">
        <w:rPr>
          <w:rFonts w:ascii="Times New Roman" w:hAnsi="Times New Roman"/>
          <w:sz w:val="22"/>
          <w:szCs w:val="22"/>
        </w:rPr>
        <w:t>is</w:t>
      </w:r>
      <w:r w:rsidR="00AF1477">
        <w:rPr>
          <w:rFonts w:ascii="Times New Roman" w:hAnsi="Times New Roman"/>
          <w:sz w:val="22"/>
          <w:szCs w:val="22"/>
        </w:rPr>
        <w:t xml:space="preserve"> </w:t>
      </w:r>
      <w:r w:rsidRPr="00B91B7E">
        <w:rPr>
          <w:rFonts w:ascii="Times New Roman" w:hAnsi="Times New Roman"/>
          <w:sz w:val="22"/>
          <w:szCs w:val="22"/>
        </w:rPr>
        <w:t>already aware of channel information based on SRS transmissions. Such CSI-RS transmission induces large signaling overhead considering maximum 64 DL beams and should be minimized by utilizing existing information</w:t>
      </w:r>
    </w:p>
    <w:p w14:paraId="1E970014"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 xml:space="preserve">More accurate beam information </w:t>
      </w:r>
    </w:p>
    <w:p w14:paraId="21EAC015" w14:textId="7DC2B67F" w:rsidR="00816783" w:rsidRPr="00B91B7E" w:rsidRDefault="00486C90" w:rsidP="00E648D7">
      <w:pPr>
        <w:pStyle w:val="BodyText"/>
        <w:numPr>
          <w:ilvl w:val="1"/>
          <w:numId w:val="10"/>
        </w:numPr>
        <w:spacing w:after="60"/>
        <w:rPr>
          <w:rFonts w:ascii="Times New Roman" w:hAnsi="Times New Roman"/>
          <w:sz w:val="22"/>
          <w:szCs w:val="22"/>
        </w:rPr>
      </w:pPr>
      <w:r>
        <w:rPr>
          <w:rFonts w:ascii="Times New Roman" w:hAnsi="Times New Roman"/>
          <w:sz w:val="22"/>
          <w:szCs w:val="22"/>
        </w:rPr>
        <w:t>A UE</w:t>
      </w:r>
      <w:r w:rsidRPr="00B91B7E">
        <w:rPr>
          <w:rFonts w:ascii="Times New Roman" w:hAnsi="Times New Roman"/>
          <w:sz w:val="22"/>
          <w:szCs w:val="22"/>
        </w:rPr>
        <w:t xml:space="preserve"> </w:t>
      </w:r>
      <w:r w:rsidR="00816783" w:rsidRPr="00B91B7E">
        <w:rPr>
          <w:rFonts w:ascii="Times New Roman" w:hAnsi="Times New Roman"/>
          <w:sz w:val="22"/>
          <w:szCs w:val="22"/>
        </w:rPr>
        <w:t>in FR2 may experience beam change due to UE mobility and dynamic blockage and latest information can help better utilization of transmission beam. For example, if SRS transmission is</w:t>
      </w:r>
      <w:r>
        <w:rPr>
          <w:rFonts w:ascii="Times New Roman" w:hAnsi="Times New Roman"/>
          <w:sz w:val="22"/>
          <w:szCs w:val="22"/>
        </w:rPr>
        <w:t xml:space="preserve"> a</w:t>
      </w:r>
      <w:r w:rsidR="00816783" w:rsidRPr="00B91B7E">
        <w:rPr>
          <w:rFonts w:ascii="Times New Roman" w:hAnsi="Times New Roman"/>
          <w:sz w:val="22"/>
          <w:szCs w:val="22"/>
        </w:rPr>
        <w:t xml:space="preserve"> more recent RS transmission than CSI-RS, it may provide better information and corresponding performance benefits. </w:t>
      </w:r>
    </w:p>
    <w:p w14:paraId="6428E86F" w14:textId="47C5EE67" w:rsidR="00670DD2" w:rsidRPr="00B91B7E" w:rsidRDefault="00670DD2" w:rsidP="00670DD2">
      <w:pPr>
        <w:pStyle w:val="BodyText"/>
        <w:spacing w:after="60"/>
        <w:rPr>
          <w:rFonts w:ascii="Times New Roman" w:hAnsi="Times New Roman"/>
          <w:sz w:val="22"/>
          <w:szCs w:val="22"/>
        </w:rPr>
      </w:pPr>
    </w:p>
    <w:p w14:paraId="40A385FD" w14:textId="47497447" w:rsidR="00816783" w:rsidRPr="00B91B7E" w:rsidRDefault="00816783" w:rsidP="00816783">
      <w:pPr>
        <w:spacing w:after="0"/>
        <w:contextualSpacing/>
        <w:jc w:val="both"/>
        <w:rPr>
          <w:i/>
          <w:sz w:val="22"/>
        </w:rPr>
      </w:pPr>
      <w:r w:rsidRPr="00B91B7E">
        <w:rPr>
          <w:b/>
          <w:bCs/>
          <w:i/>
          <w:sz w:val="22"/>
        </w:rPr>
        <w:t xml:space="preserve">Observation </w:t>
      </w:r>
      <w:r w:rsidR="000F1C23">
        <w:rPr>
          <w:b/>
          <w:bCs/>
          <w:i/>
          <w:sz w:val="22"/>
        </w:rPr>
        <w:t>2</w:t>
      </w:r>
      <w:r w:rsidRPr="00B91B7E">
        <w:rPr>
          <w:b/>
          <w:bCs/>
          <w:i/>
          <w:sz w:val="22"/>
        </w:rPr>
        <w:t xml:space="preserve">: </w:t>
      </w:r>
      <w:r w:rsidRPr="00B91B7E">
        <w:rPr>
          <w:i/>
          <w:sz w:val="22"/>
        </w:rPr>
        <w:t xml:space="preserve">Introduction of </w:t>
      </w:r>
      <w:r w:rsidR="00F07524" w:rsidRPr="00B91B7E">
        <w:rPr>
          <w:i/>
          <w:sz w:val="22"/>
        </w:rPr>
        <w:t>S</w:t>
      </w:r>
      <w:r w:rsidRPr="00B91B7E">
        <w:rPr>
          <w:i/>
          <w:sz w:val="22"/>
        </w:rPr>
        <w:t>RS in DL TCI state provide</w:t>
      </w:r>
      <w:r w:rsidR="00B35DF7">
        <w:rPr>
          <w:i/>
          <w:sz w:val="22"/>
        </w:rPr>
        <w:t>s</w:t>
      </w:r>
      <w:r w:rsidRPr="00B91B7E">
        <w:rPr>
          <w:i/>
          <w:sz w:val="22"/>
        </w:rPr>
        <w:t xml:space="preserve"> performance benefits based on beam correspondence, less </w:t>
      </w:r>
      <w:proofErr w:type="spellStart"/>
      <w:r w:rsidR="005941B3" w:rsidRPr="00B91B7E">
        <w:rPr>
          <w:i/>
          <w:sz w:val="22"/>
        </w:rPr>
        <w:t>signaling</w:t>
      </w:r>
      <w:proofErr w:type="spellEnd"/>
      <w:r w:rsidRPr="00B91B7E">
        <w:rPr>
          <w:i/>
          <w:sz w:val="22"/>
        </w:rPr>
        <w:t xml:space="preserve"> overhead and more accurate beam information.</w:t>
      </w:r>
    </w:p>
    <w:p w14:paraId="684EBA87" w14:textId="77777777" w:rsidR="00816783" w:rsidRPr="00B91B7E" w:rsidRDefault="00816783" w:rsidP="00816783">
      <w:pPr>
        <w:spacing w:after="0"/>
        <w:contextualSpacing/>
        <w:jc w:val="both"/>
      </w:pPr>
    </w:p>
    <w:p w14:paraId="2F56C561" w14:textId="16010D0B" w:rsidR="00816783" w:rsidRPr="00B91B7E" w:rsidRDefault="00816783" w:rsidP="00816783">
      <w:pPr>
        <w:spacing w:after="0"/>
        <w:contextualSpacing/>
        <w:jc w:val="both"/>
        <w:rPr>
          <w:bCs/>
          <w:i/>
          <w:sz w:val="22"/>
        </w:rPr>
      </w:pPr>
      <w:r w:rsidRPr="00B91B7E">
        <w:rPr>
          <w:b/>
          <w:i/>
          <w:sz w:val="22"/>
        </w:rPr>
        <w:t xml:space="preserve">Proposal </w:t>
      </w:r>
      <w:r w:rsidR="00940C24">
        <w:rPr>
          <w:b/>
          <w:i/>
          <w:sz w:val="22"/>
        </w:rPr>
        <w:t>7</w:t>
      </w:r>
      <w:r w:rsidRPr="00B91B7E">
        <w:rPr>
          <w:b/>
          <w:i/>
          <w:sz w:val="22"/>
        </w:rPr>
        <w:t>:</w:t>
      </w:r>
      <w:r w:rsidRPr="00B91B7E">
        <w:rPr>
          <w:bCs/>
          <w:i/>
          <w:sz w:val="22"/>
        </w:rPr>
        <w:t xml:space="preserve"> DL TCI state based on </w:t>
      </w:r>
      <w:r w:rsidR="00F07524" w:rsidRPr="00B91B7E">
        <w:rPr>
          <w:bCs/>
          <w:i/>
          <w:sz w:val="22"/>
        </w:rPr>
        <w:t>S</w:t>
      </w:r>
      <w:r w:rsidRPr="00B91B7E">
        <w:rPr>
          <w:bCs/>
          <w:i/>
          <w:sz w:val="22"/>
        </w:rPr>
        <w:t xml:space="preserve">RS </w:t>
      </w:r>
      <w:r w:rsidR="00F07524" w:rsidRPr="00B91B7E">
        <w:rPr>
          <w:bCs/>
          <w:i/>
          <w:sz w:val="22"/>
        </w:rPr>
        <w:t>for beam measurement</w:t>
      </w:r>
      <w:r w:rsidRPr="00B91B7E">
        <w:rPr>
          <w:bCs/>
          <w:i/>
          <w:sz w:val="22"/>
        </w:rPr>
        <w:t xml:space="preserve"> should be supported.</w:t>
      </w:r>
    </w:p>
    <w:p w14:paraId="0F57C22F" w14:textId="34C1339B" w:rsidR="00816783" w:rsidRPr="00B91B7E" w:rsidRDefault="00816783" w:rsidP="00670DD2">
      <w:pPr>
        <w:pStyle w:val="BodyText"/>
        <w:spacing w:after="60"/>
        <w:rPr>
          <w:rFonts w:ascii="Times New Roman" w:hAnsi="Times New Roman"/>
          <w:sz w:val="22"/>
          <w:szCs w:val="22"/>
          <w:lang w:val="en-GB"/>
        </w:rPr>
      </w:pPr>
    </w:p>
    <w:p w14:paraId="36A7C0FD" w14:textId="0D699E30" w:rsidR="00F07524" w:rsidRPr="00B91B7E" w:rsidRDefault="00F07524" w:rsidP="00670DD2">
      <w:pPr>
        <w:pStyle w:val="BodyText"/>
        <w:spacing w:after="60"/>
        <w:rPr>
          <w:rFonts w:ascii="Times New Roman" w:hAnsi="Times New Roman"/>
          <w:i/>
          <w:iCs/>
          <w:sz w:val="22"/>
          <w:szCs w:val="22"/>
        </w:rPr>
      </w:pPr>
    </w:p>
    <w:p w14:paraId="26EA04EE" w14:textId="4CFFA309" w:rsidR="00BB3AEC" w:rsidRPr="00B91B7E" w:rsidRDefault="00C3745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L1/L2-centric inter-cell mobility</w:t>
      </w:r>
    </w:p>
    <w:p w14:paraId="3AA35727" w14:textId="400D57EA" w:rsidR="0047510A" w:rsidRDefault="008446CE" w:rsidP="00DD62D5">
      <w:pPr>
        <w:pStyle w:val="BodyText"/>
        <w:spacing w:after="60"/>
        <w:ind w:firstLine="288"/>
        <w:rPr>
          <w:rFonts w:ascii="Times New Roman" w:eastAsiaTheme="minorEastAsia" w:hAnsi="Times New Roman"/>
          <w:sz w:val="22"/>
          <w:szCs w:val="22"/>
          <w:lang w:val="en-GB" w:eastAsia="zh-CN"/>
        </w:rPr>
      </w:pPr>
      <w:r>
        <w:rPr>
          <w:rFonts w:ascii="Times New Roman" w:eastAsiaTheme="minorEastAsia" w:hAnsi="Times New Roman"/>
          <w:sz w:val="22"/>
          <w:szCs w:val="22"/>
          <w:lang w:eastAsia="zh-CN"/>
        </w:rPr>
        <w:t xml:space="preserve">In </w:t>
      </w:r>
      <w:r w:rsidR="0047510A">
        <w:rPr>
          <w:rFonts w:ascii="Times New Roman" w:eastAsiaTheme="minorEastAsia" w:hAnsi="Times New Roman"/>
          <w:sz w:val="22"/>
          <w:szCs w:val="22"/>
          <w:lang w:eastAsia="zh-CN"/>
        </w:rPr>
        <w:t>a recent RAN plenary meeting (RAN#92)</w:t>
      </w:r>
      <w:r>
        <w:rPr>
          <w:rFonts w:ascii="Times New Roman" w:eastAsiaTheme="minorEastAsia" w:hAnsi="Times New Roman"/>
          <w:sz w:val="22"/>
          <w:szCs w:val="22"/>
          <w:lang w:eastAsia="zh-CN"/>
        </w:rPr>
        <w:t xml:space="preserve">, </w:t>
      </w:r>
      <w:r w:rsidR="0047510A">
        <w:rPr>
          <w:rFonts w:ascii="Times New Roman" w:eastAsiaTheme="minorEastAsia" w:hAnsi="Times New Roman"/>
          <w:sz w:val="22"/>
          <w:szCs w:val="22"/>
          <w:lang w:eastAsia="zh-CN"/>
        </w:rPr>
        <w:t xml:space="preserve">the WI scope of </w:t>
      </w:r>
      <w:r w:rsidR="0047510A" w:rsidRPr="0047510A">
        <w:rPr>
          <w:rFonts w:ascii="Times New Roman" w:eastAsiaTheme="minorEastAsia" w:hAnsi="Times New Roman"/>
          <w:sz w:val="22"/>
          <w:szCs w:val="22"/>
          <w:lang w:val="en-GB" w:eastAsia="zh-CN"/>
        </w:rPr>
        <w:t>L1/L2-centric inter-cell beam management was discussed for the potential down-scoping with two Scenarios</w:t>
      </w:r>
      <w:r w:rsidR="0047510A">
        <w:rPr>
          <w:rFonts w:ascii="Times New Roman" w:eastAsiaTheme="minorEastAsia" w:hAnsi="Times New Roman"/>
          <w:sz w:val="22"/>
          <w:szCs w:val="22"/>
          <w:lang w:val="en-GB" w:eastAsia="zh-CN"/>
        </w:rPr>
        <w:t>:</w:t>
      </w:r>
    </w:p>
    <w:p w14:paraId="3DA57CB5" w14:textId="77777777" w:rsidR="0047510A" w:rsidRPr="00687CA8" w:rsidRDefault="0047510A" w:rsidP="0047510A">
      <w:pPr>
        <w:pStyle w:val="BodyText"/>
        <w:numPr>
          <w:ilvl w:val="1"/>
          <w:numId w:val="10"/>
        </w:numPr>
        <w:spacing w:after="60"/>
        <w:rPr>
          <w:rFonts w:ascii="Times New Roman" w:eastAsiaTheme="minorEastAsia" w:hAnsi="Times New Roman"/>
          <w:sz w:val="22"/>
          <w:szCs w:val="22"/>
          <w:lang w:eastAsia="zh-CN"/>
        </w:rPr>
      </w:pPr>
      <w:r w:rsidRPr="0047510A">
        <w:rPr>
          <w:rFonts w:ascii="Times New Roman" w:eastAsiaTheme="minorEastAsia" w:hAnsi="Times New Roman"/>
          <w:sz w:val="22"/>
          <w:szCs w:val="22"/>
          <w:lang w:val="en-GB" w:eastAsia="zh-CN"/>
        </w:rPr>
        <w:t>Scenario 1 (no change in serving cell)</w:t>
      </w:r>
    </w:p>
    <w:p w14:paraId="244F4E6A" w14:textId="77777777" w:rsidR="0047510A" w:rsidRPr="00687CA8" w:rsidRDefault="0047510A" w:rsidP="0047510A">
      <w:pPr>
        <w:pStyle w:val="BodyText"/>
        <w:numPr>
          <w:ilvl w:val="1"/>
          <w:numId w:val="10"/>
        </w:numPr>
        <w:spacing w:after="60"/>
        <w:rPr>
          <w:rFonts w:ascii="Times New Roman" w:eastAsiaTheme="minorEastAsia" w:hAnsi="Times New Roman"/>
          <w:sz w:val="22"/>
          <w:szCs w:val="22"/>
          <w:lang w:eastAsia="zh-CN"/>
        </w:rPr>
      </w:pPr>
      <w:r w:rsidRPr="0047510A">
        <w:rPr>
          <w:rFonts w:ascii="Times New Roman" w:eastAsiaTheme="minorEastAsia" w:hAnsi="Times New Roman"/>
          <w:sz w:val="22"/>
          <w:szCs w:val="22"/>
          <w:lang w:val="en-GB" w:eastAsia="zh-CN"/>
        </w:rPr>
        <w:t>Scenario 2 (requiring change in serving cell)</w:t>
      </w:r>
    </w:p>
    <w:p w14:paraId="0A7EACEA" w14:textId="77777777" w:rsidR="0047510A" w:rsidRDefault="0047510A" w:rsidP="00687CA8">
      <w:pPr>
        <w:pStyle w:val="BodyText"/>
        <w:spacing w:after="60"/>
        <w:rPr>
          <w:rFonts w:ascii="Times New Roman" w:eastAsiaTheme="minorEastAsia" w:hAnsi="Times New Roman"/>
          <w:sz w:val="22"/>
          <w:szCs w:val="22"/>
          <w:lang w:eastAsia="zh-CN"/>
        </w:rPr>
      </w:pPr>
    </w:p>
    <w:p w14:paraId="0605502D" w14:textId="234DC785" w:rsidR="0047510A" w:rsidRDefault="0047510A" w:rsidP="0047510A">
      <w:pPr>
        <w:pStyle w:val="BodyText"/>
        <w:spacing w:after="60"/>
        <w:ind w:firstLine="288"/>
        <w:rPr>
          <w:rFonts w:ascii="Times New Roman" w:eastAsiaTheme="minorEastAsia" w:hAnsi="Times New Roman"/>
          <w:sz w:val="22"/>
          <w:szCs w:val="22"/>
          <w:lang w:eastAsia="zh-CN"/>
        </w:rPr>
      </w:pPr>
      <w:r w:rsidRPr="00687CA8">
        <w:rPr>
          <w:rFonts w:ascii="Times New Roman" w:eastAsiaTheme="minorEastAsia" w:hAnsi="Times New Roman"/>
          <w:sz w:val="22"/>
          <w:szCs w:val="22"/>
          <w:lang w:eastAsia="zh-CN"/>
        </w:rPr>
        <w:t>As RAN2 raised strong concerns on supporting Scenario 2 in Rel-17 due to the heavy workload and unproven benefits, RAN agreed to focus on Scenario 1 only in Rel-17 for both RAN1/2</w:t>
      </w:r>
      <w:r>
        <w:rPr>
          <w:rFonts w:ascii="Times New Roman" w:eastAsiaTheme="minorEastAsia" w:hAnsi="Times New Roman"/>
          <w:sz w:val="22"/>
          <w:szCs w:val="22"/>
          <w:lang w:eastAsia="zh-CN"/>
        </w:rPr>
        <w:t xml:space="preserve">. Accordingly, </w:t>
      </w:r>
      <w:r w:rsidR="008909C3">
        <w:rPr>
          <w:rFonts w:ascii="Times New Roman" w:eastAsiaTheme="minorEastAsia" w:hAnsi="Times New Roman"/>
          <w:sz w:val="22"/>
          <w:szCs w:val="22"/>
          <w:lang w:eastAsia="zh-CN"/>
        </w:rPr>
        <w:t xml:space="preserve">the </w:t>
      </w:r>
      <w:r w:rsidRPr="00687CA8">
        <w:rPr>
          <w:rFonts w:ascii="Times New Roman" w:eastAsiaTheme="minorEastAsia" w:hAnsi="Times New Roman"/>
          <w:sz w:val="22"/>
          <w:szCs w:val="22"/>
          <w:lang w:eastAsia="zh-CN"/>
        </w:rPr>
        <w:t xml:space="preserve">WID </w:t>
      </w:r>
      <w:r w:rsidR="008909C3">
        <w:rPr>
          <w:rFonts w:ascii="Times New Roman" w:eastAsiaTheme="minorEastAsia" w:hAnsi="Times New Roman"/>
          <w:sz w:val="22"/>
          <w:szCs w:val="22"/>
          <w:lang w:eastAsia="zh-CN"/>
        </w:rPr>
        <w:t>has been</w:t>
      </w:r>
      <w:r w:rsidRPr="00687CA8">
        <w:rPr>
          <w:rFonts w:ascii="Times New Roman" w:eastAsiaTheme="minorEastAsia" w:hAnsi="Times New Roman"/>
          <w:sz w:val="22"/>
          <w:szCs w:val="22"/>
          <w:lang w:eastAsia="zh-CN"/>
        </w:rPr>
        <w:t xml:space="preserve"> updated</w:t>
      </w:r>
      <w:r w:rsidR="008909C3">
        <w:rPr>
          <w:rFonts w:ascii="Times New Roman" w:eastAsiaTheme="minorEastAsia" w:hAnsi="Times New Roman"/>
          <w:sz w:val="22"/>
          <w:szCs w:val="22"/>
          <w:lang w:eastAsia="zh-CN"/>
        </w:rPr>
        <w:t xml:space="preserve"> as in [3].</w:t>
      </w:r>
    </w:p>
    <w:p w14:paraId="62DFD3B9" w14:textId="77777777" w:rsidR="003975E6" w:rsidRPr="00B91B7E" w:rsidRDefault="003975E6" w:rsidP="00006D5B">
      <w:pPr>
        <w:pStyle w:val="BodyText"/>
        <w:spacing w:after="60"/>
        <w:ind w:firstLine="288"/>
        <w:rPr>
          <w:rFonts w:ascii="Times New Roman" w:hAnsi="Times New Roman"/>
          <w:sz w:val="22"/>
          <w:szCs w:val="22"/>
          <w:lang w:val="en-GB"/>
        </w:rPr>
      </w:pPr>
    </w:p>
    <w:p w14:paraId="2CB75154" w14:textId="6C47F3C0" w:rsidR="001E4082" w:rsidRPr="00B91B7E" w:rsidRDefault="001E4082"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failure recovery </w:t>
      </w:r>
    </w:p>
    <w:p w14:paraId="63AC8155" w14:textId="2729BA5B" w:rsidR="003975E6" w:rsidRPr="00B91B7E" w:rsidRDefault="003975E6"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Given that beam failure recovery is an essential procedure which provides reliability and enables standalone operation of FR2, enhancement of beam failure recovery should be an important part of inter-cell mobility. For the enhancement, monitoring, candidate beam selection and reporting for other cells </w:t>
      </w:r>
      <w:r w:rsidR="008909C3">
        <w:rPr>
          <w:rFonts w:ascii="Times New Roman" w:hAnsi="Times New Roman"/>
          <w:sz w:val="22"/>
          <w:szCs w:val="22"/>
        </w:rPr>
        <w:t>without engaging serving-cell changes</w:t>
      </w:r>
      <w:r w:rsidR="008909C3" w:rsidRPr="00B91B7E">
        <w:rPr>
          <w:rFonts w:ascii="Times New Roman" w:hAnsi="Times New Roman"/>
          <w:sz w:val="22"/>
          <w:szCs w:val="22"/>
        </w:rPr>
        <w:t xml:space="preserve"> </w:t>
      </w:r>
      <w:r w:rsidRPr="00B91B7E">
        <w:rPr>
          <w:rFonts w:ascii="Times New Roman" w:hAnsi="Times New Roman"/>
          <w:sz w:val="22"/>
          <w:szCs w:val="22"/>
        </w:rPr>
        <w:t>can be considered</w:t>
      </w:r>
      <w:r w:rsidR="008909C3">
        <w:rPr>
          <w:rFonts w:ascii="Times New Roman" w:hAnsi="Times New Roman"/>
          <w:sz w:val="22"/>
          <w:szCs w:val="22"/>
        </w:rPr>
        <w:t xml:space="preserve"> in Rel-17</w:t>
      </w:r>
      <w:r w:rsidRPr="00B91B7E">
        <w:rPr>
          <w:rFonts w:ascii="Times New Roman" w:hAnsi="Times New Roman"/>
          <w:sz w:val="22"/>
          <w:szCs w:val="22"/>
        </w:rPr>
        <w:t>.</w:t>
      </w:r>
      <w:r w:rsidR="004965CE" w:rsidRPr="00B91B7E">
        <w:rPr>
          <w:rFonts w:ascii="Times New Roman" w:hAnsi="Times New Roman"/>
          <w:sz w:val="22"/>
          <w:szCs w:val="22"/>
        </w:rPr>
        <w:t xml:space="preserve"> For example, a</w:t>
      </w:r>
      <w:r w:rsidRPr="00B91B7E">
        <w:rPr>
          <w:rFonts w:ascii="Times New Roman" w:hAnsi="Times New Roman"/>
          <w:sz w:val="22"/>
          <w:szCs w:val="22"/>
        </w:rPr>
        <w:t xml:space="preserve">s number of cells to be monitored, </w:t>
      </w:r>
      <w:proofErr w:type="gramStart"/>
      <w:r w:rsidRPr="00B91B7E">
        <w:rPr>
          <w:rFonts w:ascii="Times New Roman" w:hAnsi="Times New Roman"/>
          <w:sz w:val="22"/>
          <w:szCs w:val="22"/>
        </w:rPr>
        <w:t>selected</w:t>
      </w:r>
      <w:proofErr w:type="gramEnd"/>
      <w:r w:rsidRPr="00B91B7E">
        <w:rPr>
          <w:rFonts w:ascii="Times New Roman" w:hAnsi="Times New Roman"/>
          <w:sz w:val="22"/>
          <w:szCs w:val="22"/>
        </w:rPr>
        <w:t xml:space="preserve"> and reported increases, UE implementation complexity and power consumption also increase. In that regard, enhanced operation of beam failure recovery should consider efficient operation with reasonable power consumption. For example, prioritization of beams from serving cells than other cells can be considered.</w:t>
      </w:r>
    </w:p>
    <w:p w14:paraId="1A7E24F8" w14:textId="77777777" w:rsidR="00237816" w:rsidRPr="00B91B7E" w:rsidRDefault="00237816" w:rsidP="00CC3F5C">
      <w:pPr>
        <w:spacing w:after="0"/>
        <w:contextualSpacing/>
        <w:jc w:val="both"/>
        <w:rPr>
          <w:b/>
          <w:i/>
          <w:sz w:val="22"/>
          <w:lang w:val="en-US"/>
        </w:rPr>
      </w:pPr>
    </w:p>
    <w:p w14:paraId="42FB127C" w14:textId="238744B3" w:rsidR="00E12DF5" w:rsidRPr="00B91B7E" w:rsidRDefault="00E12DF5" w:rsidP="00CC3F5C">
      <w:pPr>
        <w:spacing w:after="0"/>
        <w:contextualSpacing/>
        <w:jc w:val="both"/>
        <w:rPr>
          <w:i/>
          <w:sz w:val="22"/>
        </w:rPr>
      </w:pPr>
      <w:r w:rsidRPr="00B91B7E">
        <w:rPr>
          <w:b/>
          <w:bCs/>
          <w:i/>
          <w:sz w:val="22"/>
        </w:rPr>
        <w:t>Observation</w:t>
      </w:r>
      <w:r w:rsidR="00D826FE">
        <w:rPr>
          <w:b/>
          <w:bCs/>
          <w:i/>
          <w:sz w:val="22"/>
        </w:rPr>
        <w:t xml:space="preserve"> </w:t>
      </w:r>
      <w:r w:rsidR="000F1C23">
        <w:rPr>
          <w:b/>
          <w:bCs/>
          <w:i/>
          <w:sz w:val="22"/>
        </w:rPr>
        <w:t>3</w:t>
      </w:r>
      <w:r w:rsidRPr="00B91B7E">
        <w:rPr>
          <w:b/>
          <w:bCs/>
          <w:i/>
          <w:sz w:val="22"/>
        </w:rPr>
        <w:t>:</w:t>
      </w:r>
      <w:r w:rsidRPr="00B91B7E">
        <w:rPr>
          <w:i/>
          <w:sz w:val="22"/>
        </w:rPr>
        <w:t xml:space="preserve"> Beam failure recovery is an essential procedure which provides reliability and enables standalone operation of FR2</w:t>
      </w:r>
      <w:r w:rsidR="00AC6652" w:rsidRPr="00B91B7E">
        <w:rPr>
          <w:i/>
          <w:sz w:val="22"/>
        </w:rPr>
        <w:t>.</w:t>
      </w:r>
    </w:p>
    <w:p w14:paraId="058BC350" w14:textId="5DD0976C" w:rsidR="00086DA1" w:rsidRPr="00B91B7E" w:rsidRDefault="00086DA1" w:rsidP="00CC3F5C">
      <w:pPr>
        <w:spacing w:after="0"/>
        <w:contextualSpacing/>
        <w:jc w:val="both"/>
        <w:rPr>
          <w:i/>
          <w:sz w:val="22"/>
        </w:rPr>
      </w:pPr>
    </w:p>
    <w:p w14:paraId="16E58B0C" w14:textId="1763593A" w:rsidR="00086DA1" w:rsidRPr="00B91B7E" w:rsidRDefault="00086DA1" w:rsidP="00086DA1">
      <w:pPr>
        <w:spacing w:after="0"/>
        <w:contextualSpacing/>
        <w:jc w:val="both"/>
        <w:rPr>
          <w:i/>
          <w:sz w:val="22"/>
        </w:rPr>
      </w:pPr>
      <w:r w:rsidRPr="00B91B7E">
        <w:rPr>
          <w:b/>
          <w:bCs/>
          <w:i/>
          <w:sz w:val="22"/>
        </w:rPr>
        <w:t xml:space="preserve">Observation </w:t>
      </w:r>
      <w:r w:rsidR="000F1C23">
        <w:rPr>
          <w:b/>
          <w:bCs/>
          <w:i/>
          <w:sz w:val="22"/>
        </w:rPr>
        <w:t>4</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027944EB" w14:textId="01559F00" w:rsidR="00E12DF5" w:rsidRPr="00B91B7E" w:rsidRDefault="00E12DF5" w:rsidP="00CC3F5C">
      <w:pPr>
        <w:spacing w:after="0"/>
        <w:contextualSpacing/>
        <w:jc w:val="both"/>
        <w:rPr>
          <w:i/>
          <w:sz w:val="22"/>
        </w:rPr>
      </w:pPr>
    </w:p>
    <w:p w14:paraId="6711F57D" w14:textId="3EAC8C7B" w:rsidR="00CC3F5C" w:rsidRPr="00B91B7E" w:rsidRDefault="00CC3F5C" w:rsidP="00CC3F5C">
      <w:pPr>
        <w:spacing w:after="0"/>
        <w:contextualSpacing/>
        <w:jc w:val="both"/>
        <w:rPr>
          <w:bCs/>
          <w:i/>
          <w:sz w:val="22"/>
        </w:rPr>
      </w:pPr>
      <w:r w:rsidRPr="00B91B7E">
        <w:rPr>
          <w:b/>
          <w:i/>
          <w:sz w:val="22"/>
        </w:rPr>
        <w:t>Proposal</w:t>
      </w:r>
      <w:r w:rsidR="00086DA1" w:rsidRPr="00B91B7E">
        <w:rPr>
          <w:b/>
          <w:i/>
          <w:sz w:val="22"/>
        </w:rPr>
        <w:t xml:space="preserve"> </w:t>
      </w:r>
      <w:r w:rsidR="000F1C23">
        <w:rPr>
          <w:b/>
          <w:i/>
          <w:sz w:val="22"/>
        </w:rPr>
        <w:t>8</w:t>
      </w:r>
      <w:r w:rsidRPr="00B91B7E">
        <w:rPr>
          <w:b/>
          <w:i/>
          <w:sz w:val="22"/>
        </w:rPr>
        <w:t>:</w:t>
      </w:r>
      <w:r w:rsidRPr="00B91B7E">
        <w:rPr>
          <w:bCs/>
          <w:i/>
          <w:sz w:val="22"/>
        </w:rPr>
        <w:t xml:space="preserve"> Efficient beam failure recovery operation for inter-cell operation should be supported</w:t>
      </w:r>
      <w:r w:rsidR="00AC6652" w:rsidRPr="00B91B7E">
        <w:rPr>
          <w:bCs/>
          <w:i/>
          <w:sz w:val="22"/>
        </w:rPr>
        <w:t>.</w:t>
      </w:r>
    </w:p>
    <w:p w14:paraId="5C6B0218" w14:textId="103C32DB" w:rsidR="00086DA1" w:rsidRPr="00B91B7E" w:rsidRDefault="00086DA1" w:rsidP="00CC3F5C">
      <w:pPr>
        <w:spacing w:after="0"/>
        <w:contextualSpacing/>
        <w:jc w:val="both"/>
        <w:rPr>
          <w:bCs/>
          <w:i/>
          <w:sz w:val="22"/>
        </w:rPr>
      </w:pPr>
    </w:p>
    <w:p w14:paraId="618C7831" w14:textId="0AC49755"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lastRenderedPageBreak/>
        <w:t>MP-UE assumption to facilitate fast UL panel selection</w:t>
      </w:r>
    </w:p>
    <w:p w14:paraId="497010E2" w14:textId="17A152AB" w:rsidR="008F041F" w:rsidRPr="008F041F" w:rsidRDefault="008F041F" w:rsidP="008F041F">
      <w:pPr>
        <w:pStyle w:val="BodyText"/>
        <w:rPr>
          <w:rFonts w:ascii="Times New Roman" w:hAnsi="Times New Roman"/>
          <w:b/>
          <w:bCs/>
          <w:sz w:val="22"/>
          <w:szCs w:val="22"/>
          <w:u w:val="single"/>
        </w:rPr>
      </w:pPr>
      <w:r w:rsidRPr="008F041F">
        <w:rPr>
          <w:rFonts w:ascii="Times New Roman" w:hAnsi="Times New Roman"/>
          <w:b/>
          <w:bCs/>
          <w:sz w:val="22"/>
          <w:szCs w:val="22"/>
          <w:u w:val="single"/>
        </w:rPr>
        <w:t>CSI reporting for MP-UE assumption</w:t>
      </w:r>
    </w:p>
    <w:p w14:paraId="67833E7E" w14:textId="7C961981" w:rsidR="000950C2" w:rsidRDefault="005F4A1C"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Pr="000950C2">
        <w:rPr>
          <w:rFonts w:ascii="Times New Roman" w:eastAsiaTheme="minorEastAsia" w:hAnsi="Times New Roman"/>
          <w:sz w:val="22"/>
          <w:szCs w:val="22"/>
          <w:lang w:eastAsia="zh-CN"/>
        </w:rPr>
        <w:t>RAN1#103-e [</w:t>
      </w:r>
      <w:r w:rsidR="000950C2">
        <w:rPr>
          <w:rFonts w:ascii="Times New Roman" w:eastAsiaTheme="minorEastAsia" w:hAnsi="Times New Roman"/>
          <w:sz w:val="22"/>
          <w:szCs w:val="22"/>
          <w:lang w:eastAsia="zh-CN"/>
        </w:rPr>
        <w:t>4</w:t>
      </w:r>
      <w:r w:rsidRPr="000950C2">
        <w:rPr>
          <w:rFonts w:ascii="Times New Roman" w:eastAsiaTheme="minorEastAsia" w:hAnsi="Times New Roman"/>
          <w:sz w:val="22"/>
          <w:szCs w:val="22"/>
          <w:lang w:eastAsia="zh-CN"/>
        </w:rPr>
        <w:t>], UE-initiated UL panel selection/activation</w:t>
      </w:r>
      <w:r>
        <w:rPr>
          <w:rFonts w:ascii="Times New Roman" w:eastAsiaTheme="minorEastAsia" w:hAnsi="Times New Roman"/>
          <w:sz w:val="22"/>
          <w:szCs w:val="22"/>
          <w:lang w:eastAsia="zh-CN"/>
        </w:rPr>
        <w:t xml:space="preserve"> was agreed</w:t>
      </w:r>
      <w:r w:rsidR="00330700">
        <w:rPr>
          <w:rFonts w:ascii="Times New Roman" w:eastAsiaTheme="minorEastAsia" w:hAnsi="Times New Roman"/>
          <w:sz w:val="22"/>
          <w:szCs w:val="22"/>
          <w:lang w:eastAsia="zh-CN"/>
        </w:rPr>
        <w:t xml:space="preserve"> to facilitate fast uplink panel selection</w:t>
      </w:r>
      <w:r>
        <w:rPr>
          <w:rFonts w:ascii="Times New Roman" w:eastAsiaTheme="minorEastAsia" w:hAnsi="Times New Roman"/>
          <w:sz w:val="22"/>
          <w:szCs w:val="22"/>
          <w:lang w:eastAsia="zh-CN"/>
        </w:rPr>
        <w:t>.</w:t>
      </w:r>
      <w:r w:rsidR="00993F5A">
        <w:rPr>
          <w:rFonts w:ascii="Times New Roman" w:eastAsiaTheme="minorEastAsia" w:hAnsi="Times New Roman"/>
          <w:sz w:val="22"/>
          <w:szCs w:val="22"/>
          <w:lang w:eastAsia="zh-CN"/>
        </w:rPr>
        <w:t xml:space="preserve"> </w:t>
      </w:r>
      <w:r w:rsidR="000950C2">
        <w:rPr>
          <w:rFonts w:ascii="Times New Roman" w:eastAsiaTheme="minorEastAsia" w:hAnsi="Times New Roman"/>
          <w:sz w:val="22"/>
          <w:szCs w:val="22"/>
          <w:lang w:eastAsia="zh-CN"/>
        </w:rPr>
        <w:t xml:space="preserve">Note, according to the agreements, </w:t>
      </w:r>
      <w:r w:rsidR="000950C2" w:rsidRPr="000950C2">
        <w:rPr>
          <w:rFonts w:ascii="Times New Roman" w:eastAsiaTheme="minorEastAsia" w:hAnsi="Times New Roman"/>
          <w:sz w:val="22"/>
          <w:szCs w:val="22"/>
          <w:lang w:eastAsia="zh-CN"/>
        </w:rPr>
        <w:t>UL Tx panel(s) are assumed to be a same set or subset of DL Rx panel(s)</w:t>
      </w:r>
      <w:r w:rsidR="000950C2">
        <w:rPr>
          <w:rFonts w:ascii="Times New Roman" w:eastAsiaTheme="minorEastAsia" w:hAnsi="Times New Roman"/>
          <w:sz w:val="22"/>
          <w:szCs w:val="22"/>
          <w:lang w:eastAsia="zh-CN"/>
        </w:rPr>
        <w:t xml:space="preserve">, </w:t>
      </w:r>
      <w:r w:rsidR="000950C2" w:rsidRPr="000950C2">
        <w:rPr>
          <w:rFonts w:ascii="Times New Roman" w:eastAsiaTheme="minorEastAsia" w:hAnsi="Times New Roman"/>
          <w:sz w:val="22"/>
          <w:szCs w:val="22"/>
          <w:lang w:eastAsia="zh-CN"/>
        </w:rPr>
        <w:t>to facilitate fast UL panel selection and MPE mitigation</w:t>
      </w:r>
      <w:r w:rsidR="000950C2">
        <w:rPr>
          <w:rFonts w:ascii="Times New Roman" w:eastAsiaTheme="minorEastAsia" w:hAnsi="Times New Roman"/>
          <w:sz w:val="22"/>
          <w:szCs w:val="22"/>
          <w:lang w:eastAsia="zh-CN"/>
        </w:rPr>
        <w:t>.</w:t>
      </w:r>
    </w:p>
    <w:p w14:paraId="7CD6DB2E" w14:textId="3E6C9B01" w:rsidR="005F4A1C" w:rsidRDefault="00993F5A"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UE initiated UL panel selection/activation, CSI reporting can be a good method to indicate UE’s selection on UL panel to gNB. </w:t>
      </w:r>
      <w:r w:rsidR="007C4CB7">
        <w:rPr>
          <w:rFonts w:ascii="Times New Roman" w:eastAsiaTheme="minorEastAsia" w:hAnsi="Times New Roman"/>
          <w:sz w:val="22"/>
          <w:szCs w:val="22"/>
          <w:lang w:eastAsia="zh-CN"/>
        </w:rPr>
        <w:t xml:space="preserve">One possible </w:t>
      </w:r>
      <w:r w:rsidR="009729BB">
        <w:rPr>
          <w:rFonts w:ascii="Times New Roman" w:eastAsiaTheme="minorEastAsia" w:hAnsi="Times New Roman"/>
          <w:sz w:val="22"/>
          <w:szCs w:val="22"/>
          <w:lang w:eastAsia="zh-CN"/>
        </w:rPr>
        <w:t>enhancement with simple specification impact</w:t>
      </w:r>
      <w:r w:rsidR="007C4CB7">
        <w:rPr>
          <w:rFonts w:ascii="Times New Roman" w:eastAsiaTheme="minorEastAsia" w:hAnsi="Times New Roman"/>
          <w:sz w:val="22"/>
          <w:szCs w:val="22"/>
          <w:lang w:eastAsia="zh-CN"/>
        </w:rPr>
        <w:t xml:space="preserve"> would be introducing </w:t>
      </w:r>
      <w:r w:rsidR="00997253">
        <w:rPr>
          <w:rFonts w:ascii="Times New Roman" w:eastAsiaTheme="minorEastAsia" w:hAnsi="Times New Roman"/>
          <w:sz w:val="22"/>
          <w:szCs w:val="22"/>
          <w:lang w:eastAsia="zh-CN"/>
        </w:rPr>
        <w:t xml:space="preserve">a </w:t>
      </w:r>
      <w:r w:rsidR="007C4CB7">
        <w:rPr>
          <w:rFonts w:ascii="Times New Roman" w:eastAsiaTheme="minorEastAsia" w:hAnsi="Times New Roman"/>
          <w:sz w:val="22"/>
          <w:szCs w:val="22"/>
          <w:lang w:eastAsia="zh-CN"/>
        </w:rPr>
        <w:t xml:space="preserve">panel ID in a CSI-RS resource. </w:t>
      </w:r>
      <w:r w:rsidR="009729BB">
        <w:rPr>
          <w:rFonts w:ascii="Times New Roman" w:eastAsiaTheme="minorEastAsia" w:hAnsi="Times New Roman"/>
          <w:sz w:val="22"/>
          <w:szCs w:val="22"/>
          <w:lang w:eastAsia="zh-CN"/>
        </w:rPr>
        <w:t>For example, based on the panel ID, UE can report its panel selection/activation to gNB by</w:t>
      </w:r>
      <w:r w:rsidR="00A52023">
        <w:rPr>
          <w:rFonts w:ascii="Times New Roman" w:eastAsiaTheme="minorEastAsia" w:hAnsi="Times New Roman"/>
          <w:sz w:val="22"/>
          <w:szCs w:val="22"/>
          <w:lang w:eastAsia="zh-CN"/>
        </w:rPr>
        <w:t xml:space="preserve"> reporting CRI and gNB can identify UE’s decision by determining associated panel ID with reported CRI. </w:t>
      </w:r>
    </w:p>
    <w:p w14:paraId="5141AB8F" w14:textId="1F598300" w:rsidR="00993F5A" w:rsidRDefault="00993F5A" w:rsidP="00993F5A">
      <w:pPr>
        <w:pStyle w:val="BodyText"/>
        <w:spacing w:after="60"/>
        <w:ind w:firstLine="288"/>
        <w:rPr>
          <w:rFonts w:ascii="Times New Roman" w:hAnsi="Times New Roman"/>
          <w:sz w:val="22"/>
          <w:szCs w:val="22"/>
          <w:highlight w:val="yellow"/>
        </w:rPr>
      </w:pPr>
    </w:p>
    <w:p w14:paraId="353A1326" w14:textId="255D6D5D" w:rsidR="00454F01" w:rsidRPr="00B91B7E" w:rsidRDefault="00454F01" w:rsidP="00454F01">
      <w:pPr>
        <w:spacing w:after="0"/>
        <w:contextualSpacing/>
        <w:jc w:val="both"/>
        <w:rPr>
          <w:i/>
          <w:sz w:val="22"/>
        </w:rPr>
      </w:pPr>
      <w:r w:rsidRPr="00B91B7E">
        <w:rPr>
          <w:b/>
          <w:bCs/>
          <w:i/>
          <w:sz w:val="22"/>
        </w:rPr>
        <w:t xml:space="preserve">Observation </w:t>
      </w:r>
      <w:r w:rsidR="000F1C23">
        <w:rPr>
          <w:b/>
          <w:bCs/>
          <w:i/>
          <w:sz w:val="22"/>
        </w:rPr>
        <w:t>5</w:t>
      </w:r>
      <w:r w:rsidRPr="00B91B7E">
        <w:rPr>
          <w:b/>
          <w:bCs/>
          <w:i/>
          <w:sz w:val="22"/>
        </w:rPr>
        <w:t xml:space="preserve">: </w:t>
      </w:r>
      <w:r w:rsidR="008F041F">
        <w:rPr>
          <w:i/>
          <w:sz w:val="22"/>
        </w:rPr>
        <w:t>CSI reporting can be a good method to indicate UE’s panel selection</w:t>
      </w:r>
      <w:r w:rsidR="00117514">
        <w:rPr>
          <w:i/>
          <w:sz w:val="22"/>
        </w:rPr>
        <w:t>/activation</w:t>
      </w:r>
      <w:r w:rsidR="008F041F">
        <w:rPr>
          <w:i/>
          <w:sz w:val="22"/>
        </w:rPr>
        <w:t xml:space="preserve"> with simple specification impact</w:t>
      </w:r>
      <w:r w:rsidRPr="00B91B7E">
        <w:rPr>
          <w:i/>
          <w:sz w:val="22"/>
        </w:rPr>
        <w:t>.</w:t>
      </w:r>
      <w:r w:rsidR="00BC11A7">
        <w:rPr>
          <w:i/>
          <w:sz w:val="22"/>
        </w:rPr>
        <w:t xml:space="preserve"> </w:t>
      </w:r>
    </w:p>
    <w:p w14:paraId="0FFD665C" w14:textId="77777777" w:rsidR="00454F01" w:rsidRPr="00B91B7E" w:rsidRDefault="00454F01" w:rsidP="00454F01">
      <w:pPr>
        <w:spacing w:after="0"/>
        <w:contextualSpacing/>
        <w:jc w:val="both"/>
        <w:rPr>
          <w:i/>
          <w:sz w:val="22"/>
        </w:rPr>
      </w:pPr>
    </w:p>
    <w:p w14:paraId="074C8AD4" w14:textId="0F477449" w:rsidR="00454F01" w:rsidRPr="00B91B7E" w:rsidRDefault="00454F01" w:rsidP="00454F01">
      <w:pPr>
        <w:spacing w:after="0"/>
        <w:contextualSpacing/>
        <w:jc w:val="both"/>
        <w:rPr>
          <w:bCs/>
          <w:i/>
          <w:sz w:val="22"/>
        </w:rPr>
      </w:pPr>
      <w:r w:rsidRPr="00B91B7E">
        <w:rPr>
          <w:b/>
          <w:i/>
          <w:sz w:val="22"/>
        </w:rPr>
        <w:t xml:space="preserve">Proposal </w:t>
      </w:r>
      <w:r w:rsidR="000F1C23">
        <w:rPr>
          <w:b/>
          <w:i/>
          <w:sz w:val="22"/>
        </w:rPr>
        <w:t>9</w:t>
      </w:r>
      <w:r w:rsidRPr="00B91B7E">
        <w:rPr>
          <w:b/>
          <w:i/>
          <w:sz w:val="22"/>
        </w:rPr>
        <w:t>:</w:t>
      </w:r>
      <w:r w:rsidRPr="00B91B7E">
        <w:rPr>
          <w:bCs/>
          <w:i/>
          <w:sz w:val="22"/>
        </w:rPr>
        <w:t xml:space="preserve"> </w:t>
      </w:r>
      <w:r w:rsidR="008F041F">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1115A683" w14:textId="77777777" w:rsidR="00993F5A" w:rsidRPr="00B91B7E" w:rsidRDefault="00993F5A" w:rsidP="005F4A1C">
      <w:pPr>
        <w:pStyle w:val="BodyText"/>
        <w:spacing w:after="60"/>
        <w:ind w:firstLine="288"/>
        <w:rPr>
          <w:rFonts w:ascii="Times New Roman" w:eastAsiaTheme="minorEastAsia" w:hAnsi="Times New Roman"/>
          <w:sz w:val="22"/>
          <w:szCs w:val="22"/>
          <w:lang w:eastAsia="zh-CN"/>
        </w:rPr>
      </w:pPr>
    </w:p>
    <w:p w14:paraId="38C9DD1C" w14:textId="4063DA5D" w:rsidR="00374802" w:rsidRPr="00130723" w:rsidRDefault="00FC3934" w:rsidP="00374802">
      <w:pPr>
        <w:pStyle w:val="BodyText"/>
        <w:rPr>
          <w:rFonts w:ascii="Times New Roman" w:hAnsi="Times New Roman"/>
          <w:b/>
          <w:bCs/>
          <w:sz w:val="22"/>
          <w:szCs w:val="22"/>
          <w:u w:val="single"/>
        </w:rPr>
      </w:pPr>
      <w:r w:rsidRPr="00130723">
        <w:rPr>
          <w:rFonts w:ascii="Times New Roman" w:hAnsi="Times New Roman"/>
          <w:b/>
          <w:bCs/>
          <w:sz w:val="22"/>
          <w:szCs w:val="22"/>
          <w:u w:val="single"/>
        </w:rPr>
        <w:t>NW-initiated panel selection/activation</w:t>
      </w:r>
    </w:p>
    <w:p w14:paraId="3C1E6F02" w14:textId="1DBE10E6" w:rsidR="00130723" w:rsidRPr="00130723" w:rsidRDefault="00130723" w:rsidP="00374802">
      <w:pPr>
        <w:pStyle w:val="BodyText"/>
        <w:spacing w:after="60"/>
        <w:ind w:firstLine="288"/>
        <w:rPr>
          <w:rFonts w:ascii="Times New Roman" w:hAnsi="Times New Roman"/>
          <w:sz w:val="22"/>
          <w:szCs w:val="22"/>
        </w:rPr>
      </w:pPr>
      <w:r w:rsidRPr="00130723">
        <w:rPr>
          <w:rFonts w:ascii="Times New Roman" w:hAnsi="Times New Roman"/>
          <w:sz w:val="22"/>
          <w:szCs w:val="22"/>
        </w:rPr>
        <w:t xml:space="preserve">In addition to UE-initiated UL panel selection/activation, </w:t>
      </w:r>
      <w:r w:rsidR="00473EE2">
        <w:rPr>
          <w:rFonts w:ascii="Times New Roman" w:hAnsi="Times New Roman"/>
          <w:sz w:val="22"/>
          <w:szCs w:val="22"/>
        </w:rPr>
        <w:t xml:space="preserve">NW-initiated panel selection/activation can be considered. </w:t>
      </w:r>
      <w:r w:rsidR="003802B0">
        <w:rPr>
          <w:rFonts w:ascii="Times New Roman" w:hAnsi="Times New Roman"/>
          <w:sz w:val="22"/>
          <w:szCs w:val="22"/>
        </w:rPr>
        <w:t xml:space="preserve">While UE </w:t>
      </w:r>
      <w:proofErr w:type="gramStart"/>
      <w:r w:rsidR="003802B0">
        <w:rPr>
          <w:rFonts w:ascii="Times New Roman" w:hAnsi="Times New Roman"/>
          <w:sz w:val="22"/>
          <w:szCs w:val="22"/>
        </w:rPr>
        <w:t>is able to</w:t>
      </w:r>
      <w:proofErr w:type="gramEnd"/>
      <w:r w:rsidR="003802B0">
        <w:rPr>
          <w:rFonts w:ascii="Times New Roman" w:hAnsi="Times New Roman"/>
          <w:sz w:val="22"/>
          <w:szCs w:val="22"/>
        </w:rPr>
        <w:t xml:space="preserve"> identify </w:t>
      </w:r>
      <w:r w:rsidR="00643581">
        <w:rPr>
          <w:rFonts w:ascii="Times New Roman" w:hAnsi="Times New Roman"/>
          <w:sz w:val="22"/>
          <w:szCs w:val="22"/>
        </w:rPr>
        <w:t xml:space="preserve">UE-side information </w:t>
      </w:r>
      <w:r w:rsidR="003802B0">
        <w:rPr>
          <w:rFonts w:ascii="Times New Roman" w:hAnsi="Times New Roman"/>
          <w:sz w:val="22"/>
          <w:szCs w:val="22"/>
        </w:rPr>
        <w:t xml:space="preserve">e.g., remaining battery power, MPE and interference from other UEs and gNB, gNB is able to identify </w:t>
      </w:r>
      <w:r w:rsidR="00643581">
        <w:rPr>
          <w:rFonts w:ascii="Times New Roman" w:hAnsi="Times New Roman"/>
          <w:sz w:val="22"/>
          <w:szCs w:val="22"/>
        </w:rPr>
        <w:t>network-side information</w:t>
      </w:r>
      <w:r w:rsidR="00403982">
        <w:rPr>
          <w:rFonts w:ascii="Times New Roman" w:hAnsi="Times New Roman"/>
          <w:sz w:val="22"/>
          <w:szCs w:val="22"/>
        </w:rPr>
        <w:t xml:space="preserve"> e.g., scheduling information and traffic. </w:t>
      </w:r>
      <w:r w:rsidR="00402407">
        <w:rPr>
          <w:rFonts w:ascii="Times New Roman" w:hAnsi="Times New Roman"/>
          <w:sz w:val="22"/>
          <w:szCs w:val="22"/>
        </w:rPr>
        <w:t xml:space="preserve">In that regard, NW-initiated panel selection/activation can be beneficial as well as UE determination. </w:t>
      </w:r>
      <w:r w:rsidR="00D03940">
        <w:rPr>
          <w:rFonts w:ascii="Times New Roman" w:hAnsi="Times New Roman"/>
          <w:sz w:val="22"/>
          <w:szCs w:val="22"/>
        </w:rPr>
        <w:t xml:space="preserve">For example, </w:t>
      </w:r>
      <w:r w:rsidR="00CB0067">
        <w:rPr>
          <w:rFonts w:ascii="Times New Roman" w:hAnsi="Times New Roman"/>
          <w:sz w:val="22"/>
          <w:szCs w:val="22"/>
        </w:rPr>
        <w:t xml:space="preserve">a panel ID can be introduced in a TCI state for joint beam indication and separate UL beam indication. </w:t>
      </w:r>
    </w:p>
    <w:p w14:paraId="375A4BE9" w14:textId="77777777" w:rsidR="002C25EA" w:rsidRPr="00942CDF" w:rsidRDefault="002C25EA" w:rsidP="00374802">
      <w:pPr>
        <w:pStyle w:val="BodyText"/>
        <w:spacing w:after="60"/>
        <w:ind w:firstLine="288"/>
        <w:rPr>
          <w:rFonts w:ascii="Times New Roman" w:hAnsi="Times New Roman"/>
          <w:sz w:val="22"/>
          <w:szCs w:val="22"/>
          <w:highlight w:val="yellow"/>
        </w:rPr>
      </w:pPr>
    </w:p>
    <w:p w14:paraId="78103862" w14:textId="4344C8BF" w:rsidR="00374802" w:rsidRPr="00987455" w:rsidRDefault="00374802" w:rsidP="00374802">
      <w:pPr>
        <w:spacing w:after="0"/>
        <w:contextualSpacing/>
        <w:jc w:val="both"/>
        <w:rPr>
          <w:i/>
          <w:sz w:val="22"/>
        </w:rPr>
      </w:pPr>
      <w:r w:rsidRPr="00987455">
        <w:rPr>
          <w:b/>
          <w:i/>
          <w:sz w:val="22"/>
        </w:rPr>
        <w:t xml:space="preserve">Observation </w:t>
      </w:r>
      <w:r w:rsidR="000F1C23">
        <w:rPr>
          <w:b/>
          <w:i/>
          <w:sz w:val="22"/>
        </w:rPr>
        <w:t>6</w:t>
      </w:r>
      <w:r w:rsidRPr="00987455">
        <w:rPr>
          <w:b/>
          <w:i/>
          <w:sz w:val="22"/>
        </w:rPr>
        <w:t>:</w:t>
      </w:r>
      <w:r w:rsidRPr="00987455">
        <w:rPr>
          <w:i/>
          <w:sz w:val="22"/>
        </w:rPr>
        <w:t xml:space="preserve"> </w:t>
      </w:r>
      <w:r w:rsidR="00643581" w:rsidRPr="00987455">
        <w:rPr>
          <w:i/>
          <w:sz w:val="22"/>
        </w:rPr>
        <w:t xml:space="preserve">While UE is able to identify </w:t>
      </w:r>
      <w:r w:rsidR="00C74EB4" w:rsidRPr="00987455">
        <w:rPr>
          <w:i/>
          <w:sz w:val="22"/>
        </w:rPr>
        <w:t>UE-side information for panel determination</w:t>
      </w:r>
      <w:r w:rsidR="00643581" w:rsidRPr="00987455">
        <w:rPr>
          <w:i/>
          <w:sz w:val="22"/>
        </w:rPr>
        <w:t xml:space="preserve">, gNB is able to identify </w:t>
      </w:r>
      <w:r w:rsidR="001D2E5B" w:rsidRPr="00987455">
        <w:rPr>
          <w:i/>
          <w:sz w:val="22"/>
        </w:rPr>
        <w:t xml:space="preserve">gNB-side information for panel determination. </w:t>
      </w:r>
    </w:p>
    <w:p w14:paraId="214FF2FA" w14:textId="77777777" w:rsidR="00374802" w:rsidRPr="00987455" w:rsidRDefault="00374802" w:rsidP="00374802">
      <w:pPr>
        <w:spacing w:after="0"/>
        <w:contextualSpacing/>
        <w:jc w:val="both"/>
        <w:rPr>
          <w:b/>
          <w:i/>
          <w:sz w:val="22"/>
        </w:rPr>
      </w:pPr>
    </w:p>
    <w:p w14:paraId="13291F8A" w14:textId="6F7DF9FE" w:rsidR="00374802" w:rsidRPr="00987455" w:rsidRDefault="00374802" w:rsidP="00374802">
      <w:pPr>
        <w:spacing w:after="0"/>
        <w:contextualSpacing/>
        <w:jc w:val="both"/>
        <w:rPr>
          <w:bCs/>
          <w:i/>
          <w:sz w:val="22"/>
        </w:rPr>
      </w:pPr>
      <w:r w:rsidRPr="00987455">
        <w:rPr>
          <w:b/>
          <w:i/>
          <w:sz w:val="22"/>
        </w:rPr>
        <w:t xml:space="preserve">Proposal </w:t>
      </w:r>
      <w:r w:rsidR="000F1C23">
        <w:rPr>
          <w:b/>
          <w:i/>
          <w:sz w:val="22"/>
        </w:rPr>
        <w:t>10</w:t>
      </w:r>
      <w:r w:rsidRPr="00987455">
        <w:rPr>
          <w:b/>
          <w:i/>
          <w:sz w:val="22"/>
        </w:rPr>
        <w:t xml:space="preserve">: </w:t>
      </w:r>
      <w:r w:rsidR="001D2E5B" w:rsidRPr="00987455">
        <w:rPr>
          <w:bCs/>
          <w:i/>
          <w:sz w:val="22"/>
        </w:rPr>
        <w:t>Introduce NW-initiated panel selection/activation in addition to UE-initiated panel selection/activation</w:t>
      </w:r>
      <w:r w:rsidRPr="00987455">
        <w:rPr>
          <w:bCs/>
          <w:i/>
          <w:sz w:val="22"/>
        </w:rPr>
        <w:t>.</w:t>
      </w:r>
    </w:p>
    <w:p w14:paraId="6296698E" w14:textId="3F5C5064" w:rsidR="002C25EA" w:rsidRPr="00942CDF" w:rsidRDefault="002C25EA" w:rsidP="00374802">
      <w:pPr>
        <w:spacing w:after="0"/>
        <w:contextualSpacing/>
        <w:jc w:val="both"/>
        <w:rPr>
          <w:bCs/>
          <w:i/>
          <w:sz w:val="22"/>
          <w:highlight w:val="yellow"/>
        </w:rPr>
      </w:pPr>
    </w:p>
    <w:p w14:paraId="653736B9" w14:textId="72F9918F"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MPE mitigation</w:t>
      </w:r>
    </w:p>
    <w:p w14:paraId="1297020C" w14:textId="1C7CE4AE" w:rsidR="006D5067" w:rsidRDefault="006D5067" w:rsidP="006D5067">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UE reporting for MPE mitigation</w:t>
      </w:r>
    </w:p>
    <w:p w14:paraId="61EC8FBA" w14:textId="4EEC7D9C" w:rsidR="001E1CE8" w:rsidRDefault="00E87343" w:rsidP="001C6EDA">
      <w:pPr>
        <w:overflowPunct/>
        <w:autoSpaceDE/>
        <w:autoSpaceDN/>
        <w:adjustRightInd/>
        <w:snapToGrid w:val="0"/>
        <w:spacing w:after="0"/>
        <w:ind w:firstLine="288"/>
        <w:contextualSpacing/>
        <w:textAlignment w:val="auto"/>
        <w:rPr>
          <w:sz w:val="22"/>
          <w:lang w:val="en-US" w:eastAsia="x-none"/>
        </w:rPr>
      </w:pPr>
      <w:r>
        <w:rPr>
          <w:sz w:val="22"/>
          <w:lang w:val="en-US" w:eastAsia="x-none"/>
        </w:rPr>
        <w:t>In RAN1#10</w:t>
      </w:r>
      <w:r w:rsidR="001E1CE8">
        <w:rPr>
          <w:sz w:val="22"/>
          <w:lang w:val="en-US" w:eastAsia="x-none"/>
        </w:rPr>
        <w:t>4</w:t>
      </w:r>
      <w:r>
        <w:rPr>
          <w:sz w:val="22"/>
          <w:lang w:val="en-US" w:eastAsia="x-none"/>
        </w:rPr>
        <w:t>-e [</w:t>
      </w:r>
      <w:r w:rsidR="00F8079D">
        <w:rPr>
          <w:sz w:val="22"/>
          <w:lang w:val="en-US" w:eastAsia="x-none"/>
        </w:rPr>
        <w:t>2</w:t>
      </w:r>
      <w:r>
        <w:rPr>
          <w:sz w:val="22"/>
          <w:lang w:val="en-US" w:eastAsia="x-none"/>
        </w:rPr>
        <w:t xml:space="preserve">], reporting on P-MPR </w:t>
      </w:r>
      <w:r w:rsidR="00060599">
        <w:rPr>
          <w:sz w:val="22"/>
          <w:lang w:val="en-US" w:eastAsia="x-none"/>
        </w:rPr>
        <w:t xml:space="preserve">based on Rel.16 framework </w:t>
      </w:r>
      <w:r>
        <w:rPr>
          <w:sz w:val="22"/>
          <w:lang w:val="en-US" w:eastAsia="x-none"/>
        </w:rPr>
        <w:t xml:space="preserve">and SSBRI(s)/CRI(s) was agreed. </w:t>
      </w:r>
      <w:r w:rsidR="001E1CE8">
        <w:rPr>
          <w:sz w:val="22"/>
          <w:lang w:val="en-US" w:eastAsia="x-none"/>
        </w:rPr>
        <w:t xml:space="preserve">In addition, down selection between beam-level and panel-select reporting should be further discussed. Panel-select reporting only reports P-MPR associated with a panel. Therefore, if gNB requires additional beam measurement information associated with the panel, additional procedures and latency are required to trigger associated RS transmissions and reports. However, if beam-level reporting is supported with association between beam and panel, beam-level reporting enables to report both P-MPR associated with a panel as well as preferred beam information in the reported panel. The association can be achieved by supporting simple specification enhancements. For example, </w:t>
      </w:r>
      <w:r w:rsidR="00AB7A30">
        <w:rPr>
          <w:sz w:val="22"/>
          <w:lang w:val="en-US" w:eastAsia="x-none"/>
        </w:rPr>
        <w:t xml:space="preserve">a TCI state group ID can be configured in a TCI </w:t>
      </w:r>
      <w:proofErr w:type="gramStart"/>
      <w:r w:rsidR="00AB7A30">
        <w:rPr>
          <w:sz w:val="22"/>
          <w:lang w:val="en-US" w:eastAsia="x-none"/>
        </w:rPr>
        <w:t>state</w:t>
      </w:r>
      <w:proofErr w:type="gramEnd"/>
      <w:r w:rsidR="00AB7A30">
        <w:rPr>
          <w:sz w:val="22"/>
          <w:lang w:val="en-US" w:eastAsia="x-none"/>
        </w:rPr>
        <w:t xml:space="preserve"> or a panel ID can be configured in a CSI-RS configuration. </w:t>
      </w:r>
    </w:p>
    <w:p w14:paraId="152C3211" w14:textId="77777777" w:rsidR="00FC5AB2" w:rsidRPr="00B91B7E" w:rsidRDefault="00FC5AB2" w:rsidP="00FC5AB2">
      <w:pPr>
        <w:overflowPunct/>
        <w:autoSpaceDE/>
        <w:autoSpaceDN/>
        <w:adjustRightInd/>
        <w:snapToGrid w:val="0"/>
        <w:spacing w:after="0"/>
        <w:contextualSpacing/>
        <w:textAlignment w:val="auto"/>
        <w:rPr>
          <w:sz w:val="22"/>
          <w:lang w:val="en-US" w:eastAsia="x-none"/>
        </w:rPr>
      </w:pPr>
    </w:p>
    <w:p w14:paraId="5B896E12" w14:textId="293EBCE3" w:rsidR="00FC5AB2" w:rsidRPr="00B91B7E" w:rsidRDefault="00FC5AB2" w:rsidP="00FC5AB2">
      <w:pPr>
        <w:spacing w:after="0"/>
        <w:contextualSpacing/>
        <w:jc w:val="both"/>
        <w:rPr>
          <w:i/>
          <w:sz w:val="22"/>
        </w:rPr>
      </w:pPr>
      <w:r w:rsidRPr="00B91B7E">
        <w:rPr>
          <w:b/>
          <w:i/>
          <w:sz w:val="22"/>
        </w:rPr>
        <w:t xml:space="preserve">Observation </w:t>
      </w:r>
      <w:r w:rsidR="000F1C23">
        <w:rPr>
          <w:b/>
          <w:i/>
          <w:sz w:val="22"/>
        </w:rPr>
        <w:t>7</w:t>
      </w:r>
      <w:r w:rsidRPr="00B91B7E">
        <w:rPr>
          <w:b/>
          <w:i/>
          <w:sz w:val="22"/>
        </w:rPr>
        <w:t>:</w:t>
      </w:r>
      <w:r w:rsidRPr="00B91B7E">
        <w:rPr>
          <w:i/>
          <w:sz w:val="22"/>
        </w:rPr>
        <w:t xml:space="preserve"> </w:t>
      </w:r>
      <w:r w:rsidR="00AB7A30">
        <w:rPr>
          <w:i/>
          <w:sz w:val="22"/>
        </w:rPr>
        <w:t xml:space="preserve">Beam-level reporting provides both panel and beam related information while panel-select reporting only provides information on a specific panel. </w:t>
      </w:r>
      <w:r w:rsidRPr="00B91B7E">
        <w:rPr>
          <w:i/>
          <w:sz w:val="22"/>
        </w:rPr>
        <w:t xml:space="preserve"> </w:t>
      </w:r>
    </w:p>
    <w:p w14:paraId="425095B6" w14:textId="77777777" w:rsidR="00FC5AB2" w:rsidRPr="00B91B7E" w:rsidRDefault="00FC5AB2" w:rsidP="00FC5AB2">
      <w:pPr>
        <w:spacing w:after="0"/>
        <w:contextualSpacing/>
        <w:jc w:val="both"/>
        <w:rPr>
          <w:b/>
          <w:i/>
          <w:sz w:val="22"/>
        </w:rPr>
      </w:pPr>
    </w:p>
    <w:p w14:paraId="288C338C" w14:textId="6401A7F5" w:rsidR="00FC5AB2" w:rsidRPr="00B91B7E" w:rsidRDefault="00FC5AB2" w:rsidP="00FC5AB2">
      <w:pPr>
        <w:spacing w:after="0"/>
        <w:contextualSpacing/>
        <w:jc w:val="both"/>
        <w:rPr>
          <w:bCs/>
          <w:i/>
          <w:sz w:val="22"/>
        </w:rPr>
      </w:pPr>
      <w:r w:rsidRPr="00B91B7E">
        <w:rPr>
          <w:b/>
          <w:i/>
          <w:sz w:val="22"/>
        </w:rPr>
        <w:t xml:space="preserve">Proposal </w:t>
      </w:r>
      <w:r w:rsidR="000F1C23">
        <w:rPr>
          <w:b/>
          <w:i/>
          <w:sz w:val="22"/>
        </w:rPr>
        <w:t>11</w:t>
      </w:r>
      <w:r w:rsidRPr="00B91B7E">
        <w:rPr>
          <w:b/>
          <w:i/>
          <w:sz w:val="22"/>
        </w:rPr>
        <w:t xml:space="preserve">: </w:t>
      </w:r>
      <w:r w:rsidR="00F468C9">
        <w:rPr>
          <w:bCs/>
          <w:i/>
          <w:sz w:val="22"/>
        </w:rPr>
        <w:t xml:space="preserve">Introduce </w:t>
      </w:r>
      <w:r w:rsidR="00AB7A30">
        <w:rPr>
          <w:bCs/>
          <w:i/>
          <w:sz w:val="22"/>
        </w:rPr>
        <w:t xml:space="preserve">reporting of </w:t>
      </w:r>
      <w:r w:rsidR="00F468C9">
        <w:rPr>
          <w:bCs/>
          <w:i/>
          <w:sz w:val="22"/>
        </w:rPr>
        <w:t xml:space="preserve">SSBRI(s)/CRI(s) </w:t>
      </w:r>
      <w:r w:rsidR="00AB7A30">
        <w:rPr>
          <w:bCs/>
          <w:i/>
          <w:sz w:val="22"/>
        </w:rPr>
        <w:t>to indicate gNB beam(s) with an association with a specific panel (e.g., TCI state group ID or panel ID)</w:t>
      </w:r>
      <w:r w:rsidR="000F2775">
        <w:rPr>
          <w:bCs/>
          <w:i/>
          <w:sz w:val="22"/>
        </w:rPr>
        <w:t>.</w:t>
      </w:r>
    </w:p>
    <w:p w14:paraId="430FC0E7" w14:textId="19593822" w:rsidR="00FC5AB2" w:rsidRDefault="00FC5AB2" w:rsidP="00135F7B">
      <w:pPr>
        <w:overflowPunct/>
        <w:autoSpaceDE/>
        <w:autoSpaceDN/>
        <w:adjustRightInd/>
        <w:snapToGrid w:val="0"/>
        <w:spacing w:after="0"/>
        <w:contextualSpacing/>
        <w:textAlignment w:val="auto"/>
        <w:rPr>
          <w:b/>
          <w:bCs/>
          <w:sz w:val="22"/>
          <w:u w:val="single"/>
          <w:lang w:val="en-US" w:eastAsia="x-none"/>
        </w:rPr>
      </w:pPr>
    </w:p>
    <w:p w14:paraId="234F8080" w14:textId="77777777" w:rsidR="001E1CE8" w:rsidRDefault="001E1CE8" w:rsidP="001E1CE8">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TCI state group</w:t>
      </w:r>
    </w:p>
    <w:p w14:paraId="1C46836D" w14:textId="21C9C54E" w:rsidR="001E1CE8" w:rsidRDefault="001E1CE8" w:rsidP="001E1CE8">
      <w:pPr>
        <w:overflowPunct/>
        <w:autoSpaceDE/>
        <w:autoSpaceDN/>
        <w:adjustRightInd/>
        <w:snapToGrid w:val="0"/>
        <w:spacing w:after="0"/>
        <w:contextualSpacing/>
        <w:textAlignment w:val="auto"/>
        <w:rPr>
          <w:sz w:val="22"/>
          <w:lang w:val="en-US" w:eastAsia="x-none"/>
        </w:rPr>
      </w:pPr>
      <w:r>
        <w:rPr>
          <w:b/>
          <w:bCs/>
          <w:sz w:val="22"/>
          <w:lang w:val="en-US" w:eastAsia="x-none"/>
        </w:rPr>
        <w:tab/>
      </w:r>
      <w:r w:rsidR="00AB7A30">
        <w:rPr>
          <w:sz w:val="22"/>
          <w:lang w:val="en-US" w:eastAsia="x-none"/>
        </w:rPr>
        <w:t xml:space="preserve">Based on the association, more efficient beam indication methods can be considered. As discussed in the above, </w:t>
      </w:r>
      <w:r>
        <w:rPr>
          <w:sz w:val="22"/>
          <w:lang w:val="en-US" w:eastAsia="x-none"/>
        </w:rPr>
        <w:t>support of TCI state group should be considered. For example, as shown in Fig</w:t>
      </w:r>
      <w:r w:rsidR="00AB7A30">
        <w:rPr>
          <w:sz w:val="22"/>
          <w:lang w:val="en-US" w:eastAsia="x-none"/>
        </w:rPr>
        <w:t>ure</w:t>
      </w:r>
      <w:r>
        <w:rPr>
          <w:sz w:val="22"/>
          <w:lang w:val="en-US" w:eastAsia="x-none"/>
        </w:rPr>
        <w:t xml:space="preserve"> </w:t>
      </w:r>
      <w:r w:rsidR="00AB7A30">
        <w:rPr>
          <w:sz w:val="22"/>
          <w:lang w:val="en-US" w:eastAsia="x-none"/>
        </w:rPr>
        <w:t>3</w:t>
      </w:r>
      <w:r>
        <w:rPr>
          <w:sz w:val="22"/>
          <w:lang w:val="en-US" w:eastAsia="x-none"/>
        </w:rPr>
        <w:t xml:space="preserve">, two TCI state groups can be supported and each of the TCI state </w:t>
      </w:r>
      <w:r w:rsidRPr="006F59CD">
        <w:rPr>
          <w:sz w:val="22"/>
          <w:lang w:val="en-US" w:eastAsia="x-none"/>
        </w:rPr>
        <w:t xml:space="preserve">groups are associated with each panel. Based on the configured TCI state groups, gNB can indicate a TCI state group for UE operation. The actual TCI state to be used </w:t>
      </w:r>
      <w:r w:rsidR="00AB7A30" w:rsidRPr="006F59CD">
        <w:rPr>
          <w:sz w:val="22"/>
          <w:lang w:val="en-US" w:eastAsia="x-none"/>
        </w:rPr>
        <w:t>for</w:t>
      </w:r>
      <w:r w:rsidRPr="006F59CD">
        <w:rPr>
          <w:sz w:val="22"/>
          <w:lang w:val="en-US" w:eastAsia="x-none"/>
        </w:rPr>
        <w:t xml:space="preserve"> </w:t>
      </w:r>
      <w:r w:rsidR="00AB7A30" w:rsidRPr="006F59CD">
        <w:rPr>
          <w:sz w:val="22"/>
          <w:lang w:val="en-US" w:eastAsia="x-none"/>
        </w:rPr>
        <w:t>UE operation</w:t>
      </w:r>
      <w:r w:rsidRPr="006F59CD">
        <w:rPr>
          <w:sz w:val="22"/>
          <w:lang w:val="en-US" w:eastAsia="x-none"/>
        </w:rPr>
        <w:t xml:space="preserve"> can be determined </w:t>
      </w:r>
      <w:r w:rsidR="00AB7A30" w:rsidRPr="006F59CD">
        <w:rPr>
          <w:sz w:val="22"/>
          <w:lang w:val="en-US" w:eastAsia="x-none"/>
        </w:rPr>
        <w:t>based on UE reporting for MPE mitigation. For example, a TCI state, associated with reported SSBRI(s)/CRI(s), in the indicated TCI state group can be used.</w:t>
      </w:r>
    </w:p>
    <w:p w14:paraId="582CAA6A" w14:textId="77777777" w:rsidR="001E1CE8" w:rsidRDefault="001E1CE8" w:rsidP="001E1CE8">
      <w:pPr>
        <w:overflowPunct/>
        <w:autoSpaceDE/>
        <w:autoSpaceDN/>
        <w:adjustRightInd/>
        <w:snapToGrid w:val="0"/>
        <w:spacing w:after="0"/>
        <w:contextualSpacing/>
        <w:textAlignment w:val="auto"/>
        <w:rPr>
          <w:sz w:val="22"/>
          <w:lang w:val="en-US" w:eastAsia="x-none"/>
        </w:rPr>
      </w:pPr>
    </w:p>
    <w:p w14:paraId="449278BA" w14:textId="32E6B732" w:rsidR="001E1CE8" w:rsidRPr="001E23A0" w:rsidRDefault="00076C31" w:rsidP="001E1CE8">
      <w:pPr>
        <w:pStyle w:val="Caption"/>
        <w:jc w:val="center"/>
        <w:rPr>
          <w:rFonts w:ascii="Arial" w:hAnsi="Arial" w:cs="Arial"/>
          <w:b w:val="0"/>
          <w:bCs w:val="0"/>
        </w:rPr>
      </w:pPr>
      <w:r>
        <w:rPr>
          <w:rFonts w:ascii="Arial" w:hAnsi="Arial" w:cs="Arial"/>
        </w:rPr>
        <w:t>F</w:t>
      </w:r>
      <w:r w:rsidR="001E1CE8">
        <w:rPr>
          <w:rFonts w:ascii="Arial" w:hAnsi="Arial" w:cs="Arial"/>
        </w:rPr>
        <w:t>igure</w:t>
      </w:r>
      <w:r w:rsidR="001E1CE8" w:rsidRPr="001E23A0">
        <w:rPr>
          <w:rFonts w:ascii="Arial" w:hAnsi="Arial" w:cs="Arial"/>
        </w:rPr>
        <w:t xml:space="preserve"> </w:t>
      </w:r>
      <w:r w:rsidR="001E1CE8">
        <w:rPr>
          <w:rFonts w:ascii="Arial" w:hAnsi="Arial" w:cs="Arial"/>
        </w:rPr>
        <w:t>3</w:t>
      </w:r>
      <w:r w:rsidR="001E1CE8" w:rsidRPr="001E23A0">
        <w:rPr>
          <w:rFonts w:ascii="Arial" w:hAnsi="Arial" w:cs="Arial"/>
        </w:rPr>
        <w:t xml:space="preserve"> </w:t>
      </w:r>
      <w:r w:rsidR="001E1CE8">
        <w:rPr>
          <w:rFonts w:ascii="Arial" w:hAnsi="Arial" w:cs="Arial"/>
          <w:b w:val="0"/>
          <w:bCs w:val="0"/>
        </w:rPr>
        <w:t>Example of two TCI state group configuration</w:t>
      </w:r>
    </w:p>
    <w:p w14:paraId="422E57B4" w14:textId="77777777" w:rsidR="001E1CE8" w:rsidRPr="007C152F" w:rsidRDefault="001E1CE8" w:rsidP="001E1CE8">
      <w:pPr>
        <w:overflowPunct/>
        <w:autoSpaceDE/>
        <w:autoSpaceDN/>
        <w:adjustRightInd/>
        <w:snapToGrid w:val="0"/>
        <w:spacing w:after="0"/>
        <w:contextualSpacing/>
        <w:textAlignment w:val="auto"/>
        <w:rPr>
          <w:sz w:val="22"/>
          <w:lang w:eastAsia="x-none"/>
        </w:rPr>
      </w:pPr>
    </w:p>
    <w:p w14:paraId="06E76FF5" w14:textId="78FFB8CE" w:rsidR="001E1CE8" w:rsidRDefault="00AB7A30" w:rsidP="001E1CE8">
      <w:pPr>
        <w:overflowPunct/>
        <w:autoSpaceDE/>
        <w:autoSpaceDN/>
        <w:adjustRightInd/>
        <w:snapToGrid w:val="0"/>
        <w:spacing w:after="0"/>
        <w:contextualSpacing/>
        <w:jc w:val="center"/>
        <w:textAlignment w:val="auto"/>
        <w:rPr>
          <w:sz w:val="22"/>
          <w:lang w:eastAsia="x-none"/>
        </w:rPr>
      </w:pPr>
      <w:r>
        <w:rPr>
          <w:noProof/>
          <w:sz w:val="22"/>
          <w:lang w:eastAsia="x-none"/>
        </w:rPr>
        <w:drawing>
          <wp:inline distT="0" distB="0" distL="0" distR="0" wp14:anchorId="47D09C86" wp14:editId="0B0508B0">
            <wp:extent cx="4507574" cy="155766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6019" cy="1570950"/>
                    </a:xfrm>
                    <a:prstGeom prst="rect">
                      <a:avLst/>
                    </a:prstGeom>
                    <a:noFill/>
                  </pic:spPr>
                </pic:pic>
              </a:graphicData>
            </a:graphic>
          </wp:inline>
        </w:drawing>
      </w:r>
    </w:p>
    <w:p w14:paraId="726E4F7A" w14:textId="77777777" w:rsidR="00AB7A30" w:rsidRPr="007C152F" w:rsidRDefault="00AB7A30" w:rsidP="001E1CE8">
      <w:pPr>
        <w:overflowPunct/>
        <w:autoSpaceDE/>
        <w:autoSpaceDN/>
        <w:adjustRightInd/>
        <w:snapToGrid w:val="0"/>
        <w:spacing w:after="0"/>
        <w:contextualSpacing/>
        <w:jc w:val="center"/>
        <w:textAlignment w:val="auto"/>
        <w:rPr>
          <w:sz w:val="22"/>
          <w:lang w:eastAsia="x-none"/>
        </w:rPr>
      </w:pPr>
    </w:p>
    <w:p w14:paraId="6F113D31" w14:textId="330AE6C1" w:rsidR="00AB7A30" w:rsidRPr="00B91B7E" w:rsidRDefault="00AB7A30" w:rsidP="00AB7A30">
      <w:pPr>
        <w:spacing w:after="0"/>
        <w:contextualSpacing/>
        <w:jc w:val="both"/>
        <w:rPr>
          <w:bCs/>
          <w:i/>
          <w:sz w:val="22"/>
        </w:rPr>
      </w:pPr>
      <w:r w:rsidRPr="00B91B7E">
        <w:rPr>
          <w:b/>
          <w:i/>
          <w:sz w:val="22"/>
        </w:rPr>
        <w:t xml:space="preserve">Proposal </w:t>
      </w:r>
      <w:r w:rsidR="000F1C23">
        <w:rPr>
          <w:b/>
          <w:i/>
          <w:sz w:val="22"/>
        </w:rPr>
        <w:t>12</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w:t>
      </w:r>
      <w:r w:rsidR="001C6EDA">
        <w:rPr>
          <w:bCs/>
          <w:i/>
          <w:sz w:val="22"/>
        </w:rPr>
        <w:t>indication and UE-centric determination of a TCI state in the indicated TCI state group</w:t>
      </w:r>
    </w:p>
    <w:p w14:paraId="0ECB2B79" w14:textId="77777777" w:rsidR="001E1CE8" w:rsidRPr="00B35C76" w:rsidRDefault="001E1CE8" w:rsidP="00135F7B">
      <w:pPr>
        <w:overflowPunct/>
        <w:autoSpaceDE/>
        <w:autoSpaceDN/>
        <w:adjustRightInd/>
        <w:snapToGrid w:val="0"/>
        <w:spacing w:after="0"/>
        <w:contextualSpacing/>
        <w:textAlignment w:val="auto"/>
        <w:rPr>
          <w:b/>
          <w:bCs/>
          <w:sz w:val="22"/>
          <w:u w:val="single"/>
          <w:lang w:eastAsia="x-none"/>
        </w:rPr>
      </w:pPr>
    </w:p>
    <w:p w14:paraId="03514371" w14:textId="77777777" w:rsidR="00B714B5" w:rsidRPr="00B91B7E" w:rsidRDefault="00B714B5" w:rsidP="00006D5B">
      <w:pPr>
        <w:overflowPunct/>
        <w:autoSpaceDE/>
        <w:autoSpaceDN/>
        <w:adjustRightInd/>
        <w:snapToGrid w:val="0"/>
        <w:spacing w:after="0"/>
        <w:ind w:left="2160"/>
        <w:contextualSpacing/>
        <w:textAlignment w:val="auto"/>
        <w:rPr>
          <w:sz w:val="22"/>
          <w:lang w:val="en-US" w:eastAsia="x-none"/>
        </w:rPr>
      </w:pPr>
    </w:p>
    <w:p w14:paraId="36EA8F41" w14:textId="082D4748" w:rsidR="0003199F" w:rsidRPr="00B91B7E" w:rsidRDefault="00481D77" w:rsidP="00006D5B">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NW confirmation</w:t>
      </w:r>
      <w:r w:rsidR="0003199F" w:rsidRPr="00B91B7E">
        <w:rPr>
          <w:b/>
          <w:bCs/>
          <w:sz w:val="22"/>
          <w:u w:val="single"/>
          <w:lang w:val="en-US" w:eastAsia="x-none"/>
        </w:rPr>
        <w:t xml:space="preserve"> in response to the reported MPE event</w:t>
      </w:r>
    </w:p>
    <w:p w14:paraId="3A58F8B9" w14:textId="43C582E8" w:rsidR="00682737" w:rsidRPr="00B91B7E" w:rsidRDefault="00682737" w:rsidP="004965CE">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When UE-centric determination methods are considered, major concern on the support is </w:t>
      </w:r>
      <w:r w:rsidR="00313E1B" w:rsidRPr="00B91B7E">
        <w:rPr>
          <w:rFonts w:ascii="Times New Roman" w:hAnsi="Times New Roman"/>
          <w:sz w:val="22"/>
          <w:szCs w:val="22"/>
        </w:rPr>
        <w:t xml:space="preserve">a </w:t>
      </w:r>
      <w:r w:rsidRPr="00B91B7E">
        <w:rPr>
          <w:rFonts w:ascii="Times New Roman" w:hAnsi="Times New Roman"/>
          <w:sz w:val="22"/>
          <w:szCs w:val="22"/>
        </w:rPr>
        <w:t xml:space="preserve">mismatch of </w:t>
      </w:r>
      <w:r w:rsidR="006F31A7" w:rsidRPr="00B91B7E">
        <w:rPr>
          <w:rFonts w:ascii="Times New Roman" w:hAnsi="Times New Roman"/>
          <w:sz w:val="22"/>
          <w:szCs w:val="22"/>
        </w:rPr>
        <w:t>bea</w:t>
      </w:r>
      <w:r w:rsidR="00481D77">
        <w:rPr>
          <w:rFonts w:ascii="Times New Roman" w:hAnsi="Times New Roman"/>
          <w:sz w:val="22"/>
          <w:szCs w:val="22"/>
        </w:rPr>
        <w:t>m</w:t>
      </w:r>
      <w:r w:rsidR="006F31A7" w:rsidRPr="00B91B7E">
        <w:rPr>
          <w:rFonts w:ascii="Times New Roman" w:hAnsi="Times New Roman"/>
          <w:sz w:val="22"/>
          <w:szCs w:val="22"/>
        </w:rPr>
        <w:t xml:space="preserve"> information</w:t>
      </w:r>
      <w:r w:rsidRPr="00B91B7E">
        <w:rPr>
          <w:rFonts w:ascii="Times New Roman" w:hAnsi="Times New Roman"/>
          <w:sz w:val="22"/>
          <w:szCs w:val="22"/>
        </w:rPr>
        <w:t xml:space="preserve"> between UE and gNB. For example, when the gNB couldn’t decode UE’s reporting</w:t>
      </w:r>
      <w:r w:rsidR="004C5191" w:rsidRPr="00B91B7E">
        <w:rPr>
          <w:rFonts w:ascii="Times New Roman" w:hAnsi="Times New Roman"/>
          <w:sz w:val="22"/>
          <w:szCs w:val="22"/>
        </w:rPr>
        <w:t xml:space="preserve"> on P-MPR</w:t>
      </w:r>
      <w:r w:rsidRPr="00B91B7E">
        <w:rPr>
          <w:rFonts w:ascii="Times New Roman" w:hAnsi="Times New Roman"/>
          <w:sz w:val="22"/>
          <w:szCs w:val="22"/>
        </w:rPr>
        <w:t xml:space="preserve">, </w:t>
      </w:r>
      <w:r w:rsidR="00A661C9" w:rsidRPr="00B91B7E">
        <w:rPr>
          <w:rFonts w:ascii="Times New Roman" w:hAnsi="Times New Roman"/>
          <w:sz w:val="22"/>
          <w:szCs w:val="22"/>
        </w:rPr>
        <w:t xml:space="preserve">a </w:t>
      </w:r>
      <w:r w:rsidR="00970142" w:rsidRPr="00B91B7E">
        <w:rPr>
          <w:rFonts w:ascii="Times New Roman" w:hAnsi="Times New Roman"/>
          <w:sz w:val="22"/>
          <w:szCs w:val="22"/>
        </w:rPr>
        <w:t xml:space="preserve">different </w:t>
      </w:r>
      <w:r w:rsidR="00A661C9" w:rsidRPr="00B91B7E">
        <w:rPr>
          <w:rFonts w:ascii="Times New Roman" w:hAnsi="Times New Roman"/>
          <w:sz w:val="22"/>
          <w:szCs w:val="22"/>
        </w:rPr>
        <w:t>spatial filter may be applied</w:t>
      </w:r>
      <w:r w:rsidR="008825E3" w:rsidRPr="00B91B7E">
        <w:rPr>
          <w:rFonts w:ascii="Times New Roman" w:hAnsi="Times New Roman"/>
          <w:sz w:val="22"/>
          <w:szCs w:val="22"/>
        </w:rPr>
        <w:t xml:space="preserve"> and </w:t>
      </w:r>
      <w:r w:rsidR="005D057F" w:rsidRPr="00B91B7E">
        <w:rPr>
          <w:rFonts w:ascii="Times New Roman" w:hAnsi="Times New Roman"/>
          <w:sz w:val="22"/>
          <w:szCs w:val="22"/>
        </w:rPr>
        <w:t xml:space="preserve">severely </w:t>
      </w:r>
      <w:r w:rsidR="008825E3" w:rsidRPr="00B91B7E">
        <w:rPr>
          <w:rFonts w:ascii="Times New Roman" w:hAnsi="Times New Roman"/>
          <w:sz w:val="22"/>
          <w:szCs w:val="22"/>
        </w:rPr>
        <w:t>reduce uplink performance</w:t>
      </w:r>
      <w:r w:rsidR="001678DC" w:rsidRPr="00B91B7E">
        <w:rPr>
          <w:rFonts w:ascii="Times New Roman" w:hAnsi="Times New Roman"/>
          <w:sz w:val="22"/>
          <w:szCs w:val="22"/>
        </w:rPr>
        <w:t xml:space="preserve"> due to </w:t>
      </w:r>
      <w:r w:rsidR="00723D0B" w:rsidRPr="00B91B7E">
        <w:rPr>
          <w:rFonts w:ascii="Times New Roman" w:hAnsi="Times New Roman"/>
          <w:sz w:val="22"/>
          <w:szCs w:val="22"/>
        </w:rPr>
        <w:t xml:space="preserve">a </w:t>
      </w:r>
      <w:r w:rsidR="001678DC" w:rsidRPr="00B91B7E">
        <w:rPr>
          <w:rFonts w:ascii="Times New Roman" w:hAnsi="Times New Roman"/>
          <w:sz w:val="22"/>
          <w:szCs w:val="22"/>
        </w:rPr>
        <w:t>loss of antenna gain</w:t>
      </w:r>
      <w:r w:rsidR="008825E3" w:rsidRPr="00B91B7E">
        <w:rPr>
          <w:rFonts w:ascii="Times New Roman" w:hAnsi="Times New Roman"/>
          <w:sz w:val="22"/>
          <w:szCs w:val="22"/>
        </w:rPr>
        <w:t xml:space="preserve">. </w:t>
      </w:r>
      <w:r w:rsidR="00A661C9" w:rsidRPr="00B91B7E">
        <w:rPr>
          <w:rFonts w:ascii="Times New Roman" w:hAnsi="Times New Roman"/>
          <w:sz w:val="22"/>
          <w:szCs w:val="22"/>
        </w:rPr>
        <w:t xml:space="preserve"> </w:t>
      </w:r>
      <w:r w:rsidR="00B166E8" w:rsidRPr="00B91B7E">
        <w:rPr>
          <w:rFonts w:ascii="Times New Roman" w:hAnsi="Times New Roman"/>
          <w:sz w:val="22"/>
          <w:szCs w:val="22"/>
        </w:rPr>
        <w:t xml:space="preserve">In that regard, </w:t>
      </w:r>
      <w:r w:rsidR="00025AB9" w:rsidRPr="00B91B7E">
        <w:rPr>
          <w:rFonts w:ascii="Times New Roman" w:hAnsi="Times New Roman"/>
          <w:sz w:val="22"/>
          <w:szCs w:val="22"/>
        </w:rPr>
        <w:t>a gNB confirmation can be considered</w:t>
      </w:r>
      <w:r w:rsidR="00131443" w:rsidRPr="00B91B7E">
        <w:rPr>
          <w:rFonts w:ascii="Times New Roman" w:hAnsi="Times New Roman"/>
          <w:sz w:val="22"/>
          <w:szCs w:val="22"/>
        </w:rPr>
        <w:t xml:space="preserve"> to align the understanding</w:t>
      </w:r>
      <w:r w:rsidR="00025AB9" w:rsidRPr="00B91B7E">
        <w:rPr>
          <w:rFonts w:ascii="Times New Roman" w:hAnsi="Times New Roman"/>
          <w:sz w:val="22"/>
          <w:szCs w:val="22"/>
        </w:rPr>
        <w:t xml:space="preserve">. For example, the gNB may transmit a PDCCH in a dedicated CORESET as a confirmation of the UE reporting on P-MPR. </w:t>
      </w:r>
    </w:p>
    <w:p w14:paraId="311D87F6" w14:textId="54F5A9C7" w:rsidR="005D057F" w:rsidRPr="00B91B7E" w:rsidRDefault="005D057F" w:rsidP="004965CE">
      <w:pPr>
        <w:pStyle w:val="BodyText"/>
        <w:spacing w:after="60"/>
        <w:ind w:firstLine="288"/>
        <w:rPr>
          <w:rFonts w:ascii="Times New Roman" w:hAnsi="Times New Roman"/>
          <w:sz w:val="22"/>
          <w:szCs w:val="22"/>
        </w:rPr>
      </w:pPr>
    </w:p>
    <w:p w14:paraId="7C0B5121" w14:textId="66D8BF39" w:rsidR="005D057F" w:rsidRPr="00B91B7E" w:rsidRDefault="005D057F" w:rsidP="005D057F">
      <w:pPr>
        <w:spacing w:after="0"/>
        <w:contextualSpacing/>
        <w:jc w:val="both"/>
        <w:rPr>
          <w:i/>
          <w:sz w:val="22"/>
        </w:rPr>
      </w:pPr>
      <w:r w:rsidRPr="00B91B7E">
        <w:rPr>
          <w:b/>
          <w:i/>
          <w:sz w:val="22"/>
        </w:rPr>
        <w:t xml:space="preserve">Observation </w:t>
      </w:r>
      <w:r w:rsidR="000F1C23">
        <w:rPr>
          <w:b/>
          <w:i/>
          <w:sz w:val="22"/>
        </w:rPr>
        <w:t>8</w:t>
      </w:r>
      <w:r w:rsidRPr="00B91B7E">
        <w:rPr>
          <w:b/>
          <w:i/>
          <w:sz w:val="22"/>
        </w:rPr>
        <w:t>:</w:t>
      </w:r>
      <w:r w:rsidRPr="00B91B7E">
        <w:rPr>
          <w:i/>
          <w:sz w:val="22"/>
        </w:rPr>
        <w:t xml:space="preserve"> Possible mismatch of beam information between UE and gNB may severely degrade uplink performance. </w:t>
      </w:r>
    </w:p>
    <w:p w14:paraId="59344C9B" w14:textId="77777777" w:rsidR="005D057F" w:rsidRPr="00B91B7E" w:rsidRDefault="005D057F" w:rsidP="005D057F">
      <w:pPr>
        <w:spacing w:after="0"/>
        <w:contextualSpacing/>
        <w:jc w:val="both"/>
        <w:rPr>
          <w:b/>
          <w:i/>
          <w:sz w:val="22"/>
        </w:rPr>
      </w:pPr>
    </w:p>
    <w:p w14:paraId="466BCC9F" w14:textId="6870EF2E" w:rsidR="005D057F" w:rsidRDefault="005D057F" w:rsidP="005D057F">
      <w:pPr>
        <w:spacing w:after="0"/>
        <w:contextualSpacing/>
        <w:jc w:val="both"/>
        <w:rPr>
          <w:bCs/>
          <w:i/>
          <w:sz w:val="22"/>
        </w:rPr>
      </w:pPr>
      <w:r w:rsidRPr="00B91B7E">
        <w:rPr>
          <w:b/>
          <w:i/>
          <w:sz w:val="22"/>
        </w:rPr>
        <w:t xml:space="preserve">Proposal </w:t>
      </w:r>
      <w:r w:rsidR="000F1C23">
        <w:rPr>
          <w:b/>
          <w:i/>
          <w:sz w:val="22"/>
        </w:rPr>
        <w:t>13</w:t>
      </w:r>
      <w:r w:rsidRPr="00B91B7E">
        <w:rPr>
          <w:b/>
          <w:i/>
          <w:sz w:val="22"/>
        </w:rPr>
        <w:t xml:space="preserve">: </w:t>
      </w:r>
      <w:r w:rsidR="00BB5C6E" w:rsidRPr="00B91B7E">
        <w:rPr>
          <w:bCs/>
          <w:i/>
          <w:sz w:val="22"/>
        </w:rPr>
        <w:t>Consider gNB confirmation mechanism to align beam information between UE and gNB.</w:t>
      </w:r>
      <w:r w:rsidRPr="00B91B7E">
        <w:rPr>
          <w:bCs/>
          <w:i/>
          <w:sz w:val="22"/>
        </w:rPr>
        <w:t xml:space="preserve"> </w:t>
      </w:r>
    </w:p>
    <w:p w14:paraId="616EC121" w14:textId="77777777" w:rsidR="00B5053A" w:rsidRPr="00B91B7E" w:rsidRDefault="00B5053A" w:rsidP="005D057F">
      <w:pPr>
        <w:spacing w:after="0"/>
        <w:contextualSpacing/>
        <w:jc w:val="both"/>
        <w:rPr>
          <w:bCs/>
          <w:i/>
          <w:sz w:val="22"/>
        </w:rPr>
      </w:pPr>
    </w:p>
    <w:p w14:paraId="4EAB9447" w14:textId="28E12D1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Conclusions</w:t>
      </w:r>
    </w:p>
    <w:p w14:paraId="276459C3" w14:textId="2A6148E6" w:rsidR="00C4142E" w:rsidRPr="00B91B7E" w:rsidRDefault="00A66C9D" w:rsidP="00E913CF">
      <w:pPr>
        <w:pStyle w:val="BodyText"/>
        <w:spacing w:after="0"/>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T</w:t>
      </w:r>
      <w:r w:rsidR="00C4142E" w:rsidRPr="00B91B7E">
        <w:rPr>
          <w:rFonts w:ascii="Times New Roman" w:eastAsiaTheme="minorEastAsia" w:hAnsi="Times New Roman"/>
          <w:sz w:val="22"/>
          <w:szCs w:val="22"/>
          <w:lang w:eastAsia="zh-CN"/>
        </w:rPr>
        <w:t xml:space="preserve">his contribution discussed potential enhancement </w:t>
      </w:r>
      <w:r w:rsidR="000E63A0" w:rsidRPr="00B91B7E">
        <w:rPr>
          <w:rFonts w:ascii="Times New Roman" w:eastAsiaTheme="minorEastAsia" w:hAnsi="Times New Roman"/>
          <w:sz w:val="22"/>
          <w:szCs w:val="22"/>
          <w:lang w:eastAsia="zh-CN"/>
        </w:rPr>
        <w:t xml:space="preserve">for </w:t>
      </w:r>
      <w:r w:rsidR="006E0FB7">
        <w:rPr>
          <w:rFonts w:ascii="Times New Roman" w:eastAsiaTheme="minorEastAsia" w:hAnsi="Times New Roman"/>
          <w:sz w:val="22"/>
          <w:szCs w:val="22"/>
          <w:lang w:eastAsia="zh-CN"/>
        </w:rPr>
        <w:t>Rel-17 beam manageme</w:t>
      </w:r>
      <w:r w:rsidR="004D27F3">
        <w:rPr>
          <w:rFonts w:ascii="Times New Roman" w:eastAsiaTheme="minorEastAsia" w:hAnsi="Times New Roman"/>
          <w:sz w:val="22"/>
          <w:szCs w:val="22"/>
          <w:lang w:eastAsia="zh-CN"/>
        </w:rPr>
        <w:t>n</w:t>
      </w:r>
      <w:r w:rsidR="006E0FB7">
        <w:rPr>
          <w:rFonts w:ascii="Times New Roman" w:eastAsiaTheme="minorEastAsia" w:hAnsi="Times New Roman"/>
          <w:sz w:val="22"/>
          <w:szCs w:val="22"/>
          <w:lang w:eastAsia="zh-CN"/>
        </w:rPr>
        <w:t>t</w:t>
      </w:r>
      <w:r w:rsidR="000E63A0" w:rsidRPr="00B91B7E">
        <w:rPr>
          <w:rFonts w:ascii="Times New Roman" w:eastAsiaTheme="minorEastAsia" w:hAnsi="Times New Roman"/>
          <w:sz w:val="22"/>
          <w:szCs w:val="22"/>
          <w:lang w:eastAsia="zh-CN"/>
        </w:rPr>
        <w:t>. Based on the presented discussion, we make the following observations and proposals,</w:t>
      </w:r>
    </w:p>
    <w:p w14:paraId="76F8A29C" w14:textId="77777777" w:rsidR="00A66C9D" w:rsidRPr="00B91B7E" w:rsidRDefault="00A66C9D" w:rsidP="00E913CF">
      <w:pPr>
        <w:spacing w:after="0"/>
        <w:contextualSpacing/>
        <w:jc w:val="both"/>
        <w:rPr>
          <w:b/>
          <w:i/>
          <w:sz w:val="22"/>
        </w:rPr>
      </w:pPr>
    </w:p>
    <w:p w14:paraId="68701CA4" w14:textId="60CBCFDF" w:rsidR="005A6B80" w:rsidRDefault="005A6B80" w:rsidP="005A6B80">
      <w:pPr>
        <w:spacing w:after="0" w:line="276" w:lineRule="auto"/>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For separate UL beam indication, utilization of existing UL DCI formats</w:t>
      </w:r>
      <w:r w:rsidR="00F61ACB">
        <w:rPr>
          <w:i/>
          <w:sz w:val="22"/>
        </w:rPr>
        <w:t xml:space="preserve"> 0_1 and 0_2</w:t>
      </w:r>
      <w:r>
        <w:rPr>
          <w:i/>
          <w:sz w:val="22"/>
        </w:rPr>
        <w:t xml:space="preserve"> is more efficient as it doesn’t require multiple PDCCH decoding and combined UE processing </w:t>
      </w:r>
      <w:r w:rsidR="00117514">
        <w:rPr>
          <w:i/>
          <w:sz w:val="22"/>
        </w:rPr>
        <w:t xml:space="preserve">time is possible </w:t>
      </w:r>
      <w:r>
        <w:rPr>
          <w:i/>
          <w:sz w:val="22"/>
        </w:rPr>
        <w:t xml:space="preserve">if UE </w:t>
      </w:r>
      <w:r w:rsidR="00975A86">
        <w:rPr>
          <w:i/>
          <w:sz w:val="22"/>
        </w:rPr>
        <w:t>implementation allows simultaneous processing</w:t>
      </w:r>
      <w:r w:rsidRPr="00B91B7E">
        <w:rPr>
          <w:i/>
          <w:sz w:val="22"/>
        </w:rPr>
        <w:t>.</w:t>
      </w:r>
    </w:p>
    <w:p w14:paraId="58DCBC27" w14:textId="7B767464" w:rsidR="005A6B80" w:rsidRPr="00B91B7E" w:rsidRDefault="005A6B80" w:rsidP="005A6B80">
      <w:pPr>
        <w:spacing w:after="0" w:line="276" w:lineRule="auto"/>
        <w:contextualSpacing/>
        <w:jc w:val="both"/>
        <w:rPr>
          <w:i/>
          <w:sz w:val="22"/>
        </w:rPr>
      </w:pPr>
      <w:r w:rsidRPr="00B91B7E">
        <w:rPr>
          <w:b/>
          <w:bCs/>
          <w:i/>
          <w:sz w:val="22"/>
        </w:rPr>
        <w:t xml:space="preserve">Observation </w:t>
      </w:r>
      <w:r w:rsidR="00240872">
        <w:rPr>
          <w:b/>
          <w:bCs/>
          <w:i/>
          <w:sz w:val="22"/>
        </w:rPr>
        <w:t>2</w:t>
      </w:r>
      <w:r w:rsidRPr="00B91B7E">
        <w:rPr>
          <w:b/>
          <w:bCs/>
          <w:i/>
          <w:sz w:val="22"/>
        </w:rPr>
        <w:t xml:space="preserve">: </w:t>
      </w:r>
      <w:r w:rsidRPr="00B91B7E">
        <w:rPr>
          <w:i/>
          <w:sz w:val="22"/>
        </w:rPr>
        <w:t>Introduction of SRS in DL TCI state provide</w:t>
      </w:r>
      <w:r>
        <w:rPr>
          <w:i/>
          <w:sz w:val="22"/>
        </w:rPr>
        <w:t>s</w:t>
      </w:r>
      <w:r w:rsidRPr="00B91B7E">
        <w:rPr>
          <w:i/>
          <w:sz w:val="22"/>
        </w:rPr>
        <w:t xml:space="preserve"> performance benefits based on beam correspondence, less </w:t>
      </w:r>
      <w:proofErr w:type="spellStart"/>
      <w:r w:rsidRPr="00B91B7E">
        <w:rPr>
          <w:i/>
          <w:sz w:val="22"/>
        </w:rPr>
        <w:t>signaling</w:t>
      </w:r>
      <w:proofErr w:type="spellEnd"/>
      <w:r w:rsidRPr="00B91B7E">
        <w:rPr>
          <w:i/>
          <w:sz w:val="22"/>
        </w:rPr>
        <w:t xml:space="preserve"> overhead and more accurate beam information.</w:t>
      </w:r>
    </w:p>
    <w:p w14:paraId="0B729C15" w14:textId="27135FA8" w:rsidR="005A6B80" w:rsidRPr="00B91B7E" w:rsidRDefault="005A6B80" w:rsidP="005A6B80">
      <w:pPr>
        <w:spacing w:after="0" w:line="276" w:lineRule="auto"/>
        <w:contextualSpacing/>
        <w:jc w:val="both"/>
        <w:rPr>
          <w:i/>
          <w:sz w:val="22"/>
        </w:rPr>
      </w:pPr>
      <w:r w:rsidRPr="00B91B7E">
        <w:rPr>
          <w:b/>
          <w:bCs/>
          <w:i/>
          <w:sz w:val="22"/>
        </w:rPr>
        <w:lastRenderedPageBreak/>
        <w:t xml:space="preserve">Observation </w:t>
      </w:r>
      <w:r w:rsidR="00240872">
        <w:rPr>
          <w:b/>
          <w:bCs/>
          <w:i/>
          <w:sz w:val="22"/>
        </w:rPr>
        <w:t>3</w:t>
      </w:r>
      <w:r w:rsidRPr="00B91B7E">
        <w:rPr>
          <w:b/>
          <w:bCs/>
          <w:i/>
          <w:sz w:val="22"/>
        </w:rPr>
        <w:t>:</w:t>
      </w:r>
      <w:r w:rsidRPr="00B91B7E">
        <w:rPr>
          <w:i/>
          <w:sz w:val="22"/>
        </w:rPr>
        <w:t xml:space="preserve"> Beam failure recovery is an essential procedure which provides reliability and enables standalone operation of FR2.</w:t>
      </w:r>
    </w:p>
    <w:p w14:paraId="475C780D" w14:textId="2D497E42" w:rsidR="005A6B80" w:rsidRPr="00B91B7E" w:rsidRDefault="005A6B80" w:rsidP="005A6B80">
      <w:pPr>
        <w:spacing w:after="0" w:line="276" w:lineRule="auto"/>
        <w:contextualSpacing/>
        <w:jc w:val="both"/>
        <w:rPr>
          <w:i/>
          <w:sz w:val="22"/>
        </w:rPr>
      </w:pPr>
      <w:r w:rsidRPr="00B91B7E">
        <w:rPr>
          <w:b/>
          <w:bCs/>
          <w:i/>
          <w:sz w:val="22"/>
        </w:rPr>
        <w:t xml:space="preserve">Observation </w:t>
      </w:r>
      <w:r w:rsidR="00240872">
        <w:rPr>
          <w:b/>
          <w:bCs/>
          <w:i/>
          <w:sz w:val="22"/>
        </w:rPr>
        <w:t>4</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352EDB34" w14:textId="777D75BA" w:rsidR="005A6B80" w:rsidRPr="00B91B7E" w:rsidRDefault="005A6B80" w:rsidP="005A6B80">
      <w:pPr>
        <w:spacing w:after="0" w:line="276" w:lineRule="auto"/>
        <w:contextualSpacing/>
        <w:jc w:val="both"/>
        <w:rPr>
          <w:i/>
          <w:sz w:val="22"/>
        </w:rPr>
      </w:pPr>
      <w:r w:rsidRPr="00B91B7E">
        <w:rPr>
          <w:b/>
          <w:bCs/>
          <w:i/>
          <w:sz w:val="22"/>
        </w:rPr>
        <w:t xml:space="preserve">Observation </w:t>
      </w:r>
      <w:r w:rsidR="00240872">
        <w:rPr>
          <w:b/>
          <w:bCs/>
          <w:i/>
          <w:sz w:val="22"/>
        </w:rPr>
        <w:t>5</w:t>
      </w:r>
      <w:r w:rsidRPr="00B91B7E">
        <w:rPr>
          <w:b/>
          <w:bCs/>
          <w:i/>
          <w:sz w:val="22"/>
        </w:rPr>
        <w:t xml:space="preserve">: </w:t>
      </w:r>
      <w:r>
        <w:rPr>
          <w:i/>
          <w:sz w:val="22"/>
        </w:rPr>
        <w:t>CSI reporting can be a good method to indicate UE’s panel selection</w:t>
      </w:r>
      <w:r w:rsidR="00117514">
        <w:rPr>
          <w:i/>
          <w:sz w:val="22"/>
        </w:rPr>
        <w:t>/activation</w:t>
      </w:r>
      <w:r>
        <w:rPr>
          <w:i/>
          <w:sz w:val="22"/>
        </w:rPr>
        <w:t xml:space="preserve"> with simple specification impact</w:t>
      </w:r>
      <w:r w:rsidRPr="00B91B7E">
        <w:rPr>
          <w:i/>
          <w:sz w:val="22"/>
        </w:rPr>
        <w:t>.</w:t>
      </w:r>
    </w:p>
    <w:p w14:paraId="3E6E1FEE" w14:textId="231A52EA" w:rsidR="005A6B80" w:rsidRPr="00987455" w:rsidRDefault="005A6B80" w:rsidP="005A6B80">
      <w:pPr>
        <w:spacing w:after="0" w:line="276" w:lineRule="auto"/>
        <w:contextualSpacing/>
        <w:jc w:val="both"/>
        <w:rPr>
          <w:i/>
          <w:sz w:val="22"/>
        </w:rPr>
      </w:pPr>
      <w:r w:rsidRPr="00987455">
        <w:rPr>
          <w:b/>
          <w:i/>
          <w:sz w:val="22"/>
        </w:rPr>
        <w:t xml:space="preserve">Observation </w:t>
      </w:r>
      <w:r w:rsidR="00240872">
        <w:rPr>
          <w:b/>
          <w:i/>
          <w:sz w:val="22"/>
        </w:rPr>
        <w:t>6</w:t>
      </w:r>
      <w:r w:rsidRPr="00987455">
        <w:rPr>
          <w:b/>
          <w:i/>
          <w:sz w:val="22"/>
        </w:rPr>
        <w:t>:</w:t>
      </w:r>
      <w:r w:rsidRPr="00987455">
        <w:rPr>
          <w:i/>
          <w:sz w:val="22"/>
        </w:rPr>
        <w:t xml:space="preserve"> While UE is able to identify UE-side information for panel determination, gNB is able to identify gNB-side information for panel determination. </w:t>
      </w:r>
    </w:p>
    <w:p w14:paraId="415A6D3E" w14:textId="3FD9F04E" w:rsidR="005A6B80" w:rsidRPr="00B91B7E" w:rsidRDefault="005A6B80" w:rsidP="005A6B80">
      <w:pPr>
        <w:spacing w:after="0" w:line="276" w:lineRule="auto"/>
        <w:contextualSpacing/>
        <w:jc w:val="both"/>
        <w:rPr>
          <w:i/>
          <w:sz w:val="22"/>
        </w:rPr>
      </w:pPr>
      <w:r w:rsidRPr="00B91B7E">
        <w:rPr>
          <w:b/>
          <w:i/>
          <w:sz w:val="22"/>
        </w:rPr>
        <w:t xml:space="preserve">Observation </w:t>
      </w:r>
      <w:r w:rsidR="00240872">
        <w:rPr>
          <w:b/>
          <w:i/>
          <w:sz w:val="22"/>
        </w:rPr>
        <w:t>7</w:t>
      </w:r>
      <w:r w:rsidRPr="00B91B7E">
        <w:rPr>
          <w:b/>
          <w:i/>
          <w:sz w:val="22"/>
        </w:rPr>
        <w:t>:</w:t>
      </w:r>
      <w:r w:rsidRPr="00B91B7E">
        <w:rPr>
          <w:i/>
          <w:sz w:val="22"/>
        </w:rPr>
        <w:t xml:space="preserve"> </w:t>
      </w:r>
      <w:r w:rsidR="000F2775">
        <w:rPr>
          <w:i/>
          <w:sz w:val="22"/>
        </w:rPr>
        <w:t xml:space="preserve">Beam-level reporting provides both panel and beam related information while panel-select reporting only provides information on a specific panel. </w:t>
      </w:r>
      <w:r w:rsidR="000F2775" w:rsidRPr="00B91B7E">
        <w:rPr>
          <w:i/>
          <w:sz w:val="22"/>
        </w:rPr>
        <w:t xml:space="preserve"> </w:t>
      </w:r>
    </w:p>
    <w:p w14:paraId="31E761A5" w14:textId="2DE9F77D" w:rsidR="005A6B80" w:rsidRPr="00B91B7E" w:rsidRDefault="005A6B80" w:rsidP="005A6B80">
      <w:pPr>
        <w:spacing w:after="0" w:line="276" w:lineRule="auto"/>
        <w:contextualSpacing/>
        <w:jc w:val="both"/>
        <w:rPr>
          <w:i/>
          <w:sz w:val="22"/>
        </w:rPr>
      </w:pPr>
      <w:r w:rsidRPr="00B91B7E">
        <w:rPr>
          <w:b/>
          <w:i/>
          <w:sz w:val="22"/>
        </w:rPr>
        <w:t xml:space="preserve">Observation </w:t>
      </w:r>
      <w:r w:rsidR="00240872">
        <w:rPr>
          <w:b/>
          <w:i/>
          <w:sz w:val="22"/>
        </w:rPr>
        <w:t>8</w:t>
      </w:r>
      <w:r w:rsidRPr="00B91B7E">
        <w:rPr>
          <w:b/>
          <w:i/>
          <w:sz w:val="22"/>
        </w:rPr>
        <w:t>:</w:t>
      </w:r>
      <w:r w:rsidRPr="00B91B7E">
        <w:rPr>
          <w:i/>
          <w:sz w:val="22"/>
        </w:rPr>
        <w:t xml:space="preserve"> Possible mismatch of beam information between UE and gNB may severely degrade uplink performance. </w:t>
      </w:r>
    </w:p>
    <w:p w14:paraId="51C3BD99" w14:textId="4D9F1F3F" w:rsidR="005A6B80" w:rsidRDefault="005A6B80" w:rsidP="005A6B80">
      <w:pPr>
        <w:tabs>
          <w:tab w:val="left" w:pos="2680"/>
        </w:tabs>
        <w:spacing w:after="0" w:line="276" w:lineRule="auto"/>
        <w:contextualSpacing/>
        <w:jc w:val="both"/>
        <w:rPr>
          <w:i/>
          <w:sz w:val="22"/>
        </w:rPr>
      </w:pPr>
    </w:p>
    <w:p w14:paraId="4643EA83" w14:textId="77777777" w:rsidR="00240872" w:rsidRDefault="00240872" w:rsidP="00240872">
      <w:pPr>
        <w:spacing w:after="0"/>
        <w:contextualSpacing/>
        <w:jc w:val="both"/>
        <w:rPr>
          <w:bCs/>
          <w:i/>
          <w:sz w:val="22"/>
        </w:rPr>
      </w:pPr>
      <w:r w:rsidRPr="00B91B7E">
        <w:rPr>
          <w:b/>
          <w:i/>
          <w:sz w:val="22"/>
        </w:rPr>
        <w:t xml:space="preserve">Proposal </w:t>
      </w:r>
      <w:r>
        <w:rPr>
          <w:b/>
          <w:i/>
          <w:sz w:val="22"/>
        </w:rPr>
        <w:t>1</w:t>
      </w:r>
      <w:r w:rsidRPr="00B91B7E">
        <w:rPr>
          <w:b/>
          <w:i/>
          <w:sz w:val="22"/>
        </w:rPr>
        <w:t>:</w:t>
      </w:r>
      <w:r w:rsidRPr="00B91B7E">
        <w:rPr>
          <w:bCs/>
          <w:i/>
          <w:sz w:val="22"/>
        </w:rPr>
        <w:t xml:space="preserve"> </w:t>
      </w:r>
      <w:r>
        <w:rPr>
          <w:bCs/>
          <w:i/>
          <w:sz w:val="22"/>
        </w:rPr>
        <w:t xml:space="preserve">For </w:t>
      </w:r>
      <w:r w:rsidRPr="004B55EE">
        <w:rPr>
          <w:bCs/>
          <w:i/>
          <w:sz w:val="22"/>
        </w:rPr>
        <w:t>group 1, support beam measurement/reporting/refinement/selection triggered by beam indication (opt 1-B) for advanced beam refinement/tracki</w:t>
      </w:r>
      <w:r>
        <w:rPr>
          <w:bCs/>
          <w:i/>
          <w:sz w:val="22"/>
        </w:rPr>
        <w:t xml:space="preserve">ng. </w:t>
      </w:r>
    </w:p>
    <w:p w14:paraId="2B3B4DEA" w14:textId="77777777" w:rsidR="00240872" w:rsidRPr="00B91B7E" w:rsidRDefault="00240872" w:rsidP="00240872">
      <w:pPr>
        <w:spacing w:after="0"/>
        <w:contextualSpacing/>
        <w:jc w:val="both"/>
        <w:rPr>
          <w:bCs/>
          <w:i/>
          <w:sz w:val="22"/>
          <w:lang w:eastAsia="ko-KR"/>
        </w:rPr>
      </w:pPr>
      <w:r w:rsidRPr="00B91B7E">
        <w:rPr>
          <w:b/>
          <w:i/>
          <w:sz w:val="22"/>
        </w:rPr>
        <w:t xml:space="preserve">Proposal </w:t>
      </w:r>
      <w:r>
        <w:rPr>
          <w:b/>
          <w:i/>
          <w:sz w:val="22"/>
        </w:rPr>
        <w:t>2</w:t>
      </w:r>
      <w:r w:rsidRPr="00B91B7E">
        <w:rPr>
          <w:b/>
          <w:i/>
          <w:sz w:val="22"/>
        </w:rPr>
        <w:t>:</w:t>
      </w:r>
      <w:r w:rsidRPr="00B91B7E">
        <w:rPr>
          <w:bCs/>
          <w:i/>
          <w:sz w:val="22"/>
        </w:rPr>
        <w:t xml:space="preserve"> </w:t>
      </w:r>
      <w:r>
        <w:rPr>
          <w:bCs/>
          <w:i/>
          <w:sz w:val="22"/>
        </w:rPr>
        <w:t xml:space="preserve">For group 1, </w:t>
      </w:r>
      <w:r w:rsidRPr="00EA6FBD">
        <w:rPr>
          <w:bCs/>
          <w:i/>
          <w:sz w:val="22"/>
        </w:rPr>
        <w:t>UE-initiated beam selection/activation based on beam measurement</w:t>
      </w:r>
      <w:r>
        <w:rPr>
          <w:bCs/>
          <w:i/>
          <w:sz w:val="22"/>
        </w:rPr>
        <w:t xml:space="preserve"> can be considered if gNB beam group indication or activation is supported. </w:t>
      </w:r>
    </w:p>
    <w:p w14:paraId="7F1BD543" w14:textId="77777777" w:rsidR="00940C24" w:rsidRDefault="00940C24" w:rsidP="00940C24">
      <w:pPr>
        <w:spacing w:after="0"/>
        <w:contextualSpacing/>
        <w:jc w:val="both"/>
        <w:rPr>
          <w:bCs/>
          <w:i/>
          <w:sz w:val="22"/>
        </w:rPr>
      </w:pPr>
      <w:r w:rsidRPr="00B91B7E">
        <w:rPr>
          <w:b/>
          <w:i/>
          <w:sz w:val="22"/>
        </w:rPr>
        <w:t xml:space="preserve">Proposal </w:t>
      </w:r>
      <w:r>
        <w:rPr>
          <w:b/>
          <w:i/>
          <w:sz w:val="22"/>
        </w:rPr>
        <w:t>3</w:t>
      </w:r>
      <w:r w:rsidRPr="00B91B7E">
        <w:rPr>
          <w:b/>
          <w:i/>
          <w:sz w:val="22"/>
        </w:rPr>
        <w:t>:</w:t>
      </w:r>
      <w:r w:rsidRPr="00B91B7E">
        <w:rPr>
          <w:bCs/>
          <w:i/>
          <w:sz w:val="22"/>
        </w:rPr>
        <w:t xml:space="preserve"> </w:t>
      </w:r>
      <w:r>
        <w:rPr>
          <w:bCs/>
          <w:i/>
          <w:sz w:val="22"/>
        </w:rPr>
        <w:t xml:space="preserve">For group 2, it is preferred to discuss latency reduction of MAC CE related activation in RAN4. </w:t>
      </w:r>
    </w:p>
    <w:p w14:paraId="1A2C8208" w14:textId="027C09C2" w:rsidR="005A6B80" w:rsidRDefault="005A6B80" w:rsidP="005A6B80">
      <w:pPr>
        <w:spacing w:after="0" w:line="276" w:lineRule="auto"/>
        <w:contextualSpacing/>
        <w:jc w:val="both"/>
        <w:rPr>
          <w:bCs/>
          <w:i/>
          <w:sz w:val="22"/>
        </w:rPr>
      </w:pPr>
      <w:r w:rsidRPr="00B91B7E">
        <w:rPr>
          <w:b/>
          <w:i/>
          <w:sz w:val="22"/>
        </w:rPr>
        <w:t xml:space="preserve">Proposal </w:t>
      </w:r>
      <w:r w:rsidR="00240872">
        <w:rPr>
          <w:b/>
          <w:i/>
          <w:sz w:val="22"/>
        </w:rPr>
        <w:t>4</w:t>
      </w:r>
      <w:r w:rsidRPr="00B91B7E">
        <w:rPr>
          <w:b/>
          <w:i/>
          <w:sz w:val="22"/>
        </w:rPr>
        <w:t>:</w:t>
      </w:r>
      <w:r w:rsidRPr="00B91B7E">
        <w:rPr>
          <w:bCs/>
          <w:i/>
          <w:sz w:val="22"/>
        </w:rPr>
        <w:t xml:space="preserve"> </w:t>
      </w:r>
      <w:r>
        <w:rPr>
          <w:bCs/>
          <w:i/>
          <w:sz w:val="22"/>
        </w:rPr>
        <w:t>For separate UL beam indication, utilization of the existing UL DCI formats 0_1 and 0_2 is preferred.</w:t>
      </w:r>
    </w:p>
    <w:p w14:paraId="140F1EAF" w14:textId="335A45DB" w:rsidR="00240872" w:rsidRDefault="00240872" w:rsidP="00240872">
      <w:pPr>
        <w:spacing w:after="0"/>
        <w:contextualSpacing/>
        <w:jc w:val="both"/>
        <w:rPr>
          <w:bCs/>
          <w:i/>
          <w:sz w:val="22"/>
        </w:rPr>
      </w:pPr>
      <w:r w:rsidRPr="00B91B7E">
        <w:rPr>
          <w:b/>
          <w:i/>
          <w:sz w:val="22"/>
        </w:rPr>
        <w:t xml:space="preserve">Proposal </w:t>
      </w:r>
      <w:r>
        <w:rPr>
          <w:b/>
          <w:i/>
          <w:sz w:val="22"/>
        </w:rPr>
        <w:t>5</w:t>
      </w:r>
      <w:r w:rsidRPr="00B91B7E">
        <w:rPr>
          <w:b/>
          <w:i/>
          <w:sz w:val="22"/>
        </w:rPr>
        <w:t>:</w:t>
      </w:r>
      <w:r w:rsidRPr="00B91B7E">
        <w:rPr>
          <w:bCs/>
          <w:i/>
          <w:sz w:val="22"/>
        </w:rPr>
        <w:t xml:space="preserve"> </w:t>
      </w:r>
      <w:r>
        <w:rPr>
          <w:i/>
          <w:sz w:val="22"/>
        </w:rPr>
        <w:t xml:space="preserve">Regarding application time of the beam indication, a single X/Y value based on agreements made in RAN1#104-e and 105-e is sufficient for a single panel case, as the proper UE capability </w:t>
      </w:r>
      <w:proofErr w:type="spellStart"/>
      <w:r>
        <w:rPr>
          <w:i/>
          <w:sz w:val="22"/>
        </w:rPr>
        <w:t>signaling</w:t>
      </w:r>
      <w:proofErr w:type="spellEnd"/>
      <w:r>
        <w:rPr>
          <w:i/>
          <w:sz w:val="22"/>
        </w:rPr>
        <w:t xml:space="preserve"> can take various cases into account to have a consistent beam application time with minimized specification impacts</w:t>
      </w:r>
      <w:r>
        <w:rPr>
          <w:bCs/>
          <w:i/>
          <w:sz w:val="22"/>
        </w:rPr>
        <w:t>.</w:t>
      </w:r>
    </w:p>
    <w:p w14:paraId="0A03AFCC" w14:textId="6CCF11FF" w:rsidR="00240872" w:rsidRDefault="00240872" w:rsidP="00240872">
      <w:pPr>
        <w:spacing w:after="0"/>
        <w:contextualSpacing/>
        <w:jc w:val="both"/>
        <w:rPr>
          <w:bCs/>
          <w:i/>
          <w:sz w:val="22"/>
        </w:rPr>
      </w:pPr>
      <w:r w:rsidRPr="00B91B7E">
        <w:rPr>
          <w:b/>
          <w:i/>
          <w:sz w:val="22"/>
        </w:rPr>
        <w:t xml:space="preserve">Proposal </w:t>
      </w:r>
      <w:r>
        <w:rPr>
          <w:b/>
          <w:i/>
          <w:sz w:val="22"/>
        </w:rPr>
        <w:t>6</w:t>
      </w:r>
      <w:r w:rsidRPr="00B91B7E">
        <w:rPr>
          <w:b/>
          <w:i/>
          <w:sz w:val="22"/>
        </w:rPr>
        <w:t>:</w:t>
      </w:r>
      <w:r w:rsidRPr="00B91B7E">
        <w:rPr>
          <w:bCs/>
          <w:i/>
          <w:sz w:val="22"/>
        </w:rPr>
        <w:t xml:space="preserve"> </w:t>
      </w:r>
      <w:r>
        <w:rPr>
          <w:i/>
          <w:sz w:val="22"/>
        </w:rPr>
        <w:t xml:space="preserve">The application time of the beam indication can be indicated/determined dynamically for inter-panel cases as </w:t>
      </w:r>
      <w:r w:rsidRPr="00600436">
        <w:rPr>
          <w:i/>
          <w:sz w:val="22"/>
        </w:rPr>
        <w:t>the processing time across multiple panels may be different</w:t>
      </w:r>
      <w:r>
        <w:rPr>
          <w:i/>
          <w:sz w:val="22"/>
        </w:rPr>
        <w:t xml:space="preserve"> depending on UE capability on multiple panels.</w:t>
      </w:r>
    </w:p>
    <w:p w14:paraId="383CD172" w14:textId="68BA3CBF" w:rsidR="005A6B80" w:rsidRPr="00B91B7E" w:rsidRDefault="005A6B80" w:rsidP="005A6B80">
      <w:pPr>
        <w:spacing w:after="0" w:line="276" w:lineRule="auto"/>
        <w:contextualSpacing/>
        <w:jc w:val="both"/>
        <w:rPr>
          <w:bCs/>
          <w:i/>
          <w:sz w:val="22"/>
        </w:rPr>
      </w:pPr>
      <w:r w:rsidRPr="00B91B7E">
        <w:rPr>
          <w:b/>
          <w:i/>
          <w:sz w:val="22"/>
        </w:rPr>
        <w:t xml:space="preserve">Proposal </w:t>
      </w:r>
      <w:r w:rsidR="00940C24">
        <w:rPr>
          <w:b/>
          <w:i/>
          <w:sz w:val="22"/>
        </w:rPr>
        <w:t>7</w:t>
      </w:r>
      <w:r w:rsidRPr="00B91B7E">
        <w:rPr>
          <w:b/>
          <w:i/>
          <w:sz w:val="22"/>
        </w:rPr>
        <w:t>:</w:t>
      </w:r>
      <w:r w:rsidRPr="00B91B7E">
        <w:rPr>
          <w:bCs/>
          <w:i/>
          <w:sz w:val="22"/>
        </w:rPr>
        <w:t xml:space="preserve"> DL TCI state based on SRS for beam measurement should be supported.</w:t>
      </w:r>
    </w:p>
    <w:p w14:paraId="5533AC00" w14:textId="3142F40B" w:rsidR="005A6B80" w:rsidRPr="00B91B7E" w:rsidRDefault="005A6B80" w:rsidP="005A6B80">
      <w:pPr>
        <w:spacing w:after="0" w:line="276" w:lineRule="auto"/>
        <w:contextualSpacing/>
        <w:jc w:val="both"/>
        <w:rPr>
          <w:bCs/>
          <w:i/>
          <w:sz w:val="22"/>
        </w:rPr>
      </w:pPr>
      <w:r w:rsidRPr="00B91B7E">
        <w:rPr>
          <w:b/>
          <w:i/>
          <w:sz w:val="22"/>
        </w:rPr>
        <w:t xml:space="preserve">Proposal </w:t>
      </w:r>
      <w:r w:rsidR="00240872">
        <w:rPr>
          <w:b/>
          <w:i/>
          <w:sz w:val="22"/>
        </w:rPr>
        <w:t>8</w:t>
      </w:r>
      <w:r w:rsidRPr="00B91B7E">
        <w:rPr>
          <w:b/>
          <w:i/>
          <w:sz w:val="22"/>
        </w:rPr>
        <w:t>:</w:t>
      </w:r>
      <w:r w:rsidRPr="00B91B7E">
        <w:rPr>
          <w:bCs/>
          <w:i/>
          <w:sz w:val="22"/>
        </w:rPr>
        <w:t xml:space="preserve"> Efficient beam failure recovery operation for inter-cell operation should be supported.</w:t>
      </w:r>
    </w:p>
    <w:p w14:paraId="3E5A170C" w14:textId="3D4E626F" w:rsidR="005A6B80" w:rsidRPr="00B91B7E" w:rsidRDefault="005A6B80" w:rsidP="005A6B80">
      <w:pPr>
        <w:spacing w:after="0" w:line="276" w:lineRule="auto"/>
        <w:contextualSpacing/>
        <w:jc w:val="both"/>
        <w:rPr>
          <w:bCs/>
          <w:i/>
          <w:sz w:val="22"/>
        </w:rPr>
      </w:pPr>
      <w:r w:rsidRPr="00B91B7E">
        <w:rPr>
          <w:b/>
          <w:i/>
          <w:sz w:val="22"/>
        </w:rPr>
        <w:t xml:space="preserve">Proposal </w:t>
      </w:r>
      <w:r w:rsidR="00240872">
        <w:rPr>
          <w:b/>
          <w:i/>
          <w:sz w:val="22"/>
        </w:rPr>
        <w:t>9</w:t>
      </w:r>
      <w:r w:rsidRPr="00B91B7E">
        <w:rPr>
          <w:b/>
          <w:i/>
          <w:sz w:val="22"/>
        </w:rPr>
        <w:t>:</w:t>
      </w:r>
      <w:r w:rsidRPr="00B91B7E">
        <w:rPr>
          <w:bCs/>
          <w:i/>
          <w:sz w:val="22"/>
        </w:rPr>
        <w:t xml:space="preserve"> </w:t>
      </w:r>
      <w:r>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218FC7D0" w14:textId="7210B235" w:rsidR="005A6B80" w:rsidRPr="00987455" w:rsidRDefault="005A6B80" w:rsidP="005A6B80">
      <w:pPr>
        <w:spacing w:after="0" w:line="276" w:lineRule="auto"/>
        <w:contextualSpacing/>
        <w:jc w:val="both"/>
        <w:rPr>
          <w:bCs/>
          <w:i/>
          <w:sz w:val="22"/>
        </w:rPr>
      </w:pPr>
      <w:r w:rsidRPr="00987455">
        <w:rPr>
          <w:b/>
          <w:i/>
          <w:sz w:val="22"/>
        </w:rPr>
        <w:t>Proposal</w:t>
      </w:r>
      <w:r>
        <w:rPr>
          <w:b/>
          <w:i/>
          <w:sz w:val="22"/>
        </w:rPr>
        <w:t xml:space="preserve"> </w:t>
      </w:r>
      <w:r w:rsidR="00240872">
        <w:rPr>
          <w:b/>
          <w:i/>
          <w:sz w:val="22"/>
        </w:rPr>
        <w:t>10</w:t>
      </w:r>
      <w:r w:rsidRPr="00987455">
        <w:rPr>
          <w:b/>
          <w:i/>
          <w:sz w:val="22"/>
        </w:rPr>
        <w:t xml:space="preserve">: </w:t>
      </w:r>
      <w:r w:rsidRPr="00987455">
        <w:rPr>
          <w:bCs/>
          <w:i/>
          <w:sz w:val="22"/>
        </w:rPr>
        <w:t>Introduce NW-initiated panel selection/activation in addition to UE-initiated panel selection/activation.</w:t>
      </w:r>
    </w:p>
    <w:p w14:paraId="57252FCC" w14:textId="3A232CED" w:rsidR="000F2775" w:rsidRPr="00B91B7E" w:rsidRDefault="005A6B80" w:rsidP="000F2775">
      <w:pPr>
        <w:spacing w:after="0"/>
        <w:contextualSpacing/>
        <w:jc w:val="both"/>
        <w:rPr>
          <w:bCs/>
          <w:i/>
          <w:sz w:val="22"/>
        </w:rPr>
      </w:pPr>
      <w:r w:rsidRPr="00B91B7E">
        <w:rPr>
          <w:b/>
          <w:i/>
          <w:sz w:val="22"/>
        </w:rPr>
        <w:t xml:space="preserve">Proposal </w:t>
      </w:r>
      <w:r w:rsidR="00240872">
        <w:rPr>
          <w:b/>
          <w:i/>
          <w:sz w:val="22"/>
        </w:rPr>
        <w:t>11</w:t>
      </w:r>
      <w:r w:rsidRPr="00B91B7E">
        <w:rPr>
          <w:b/>
          <w:i/>
          <w:sz w:val="22"/>
        </w:rPr>
        <w:t xml:space="preserve">: </w:t>
      </w:r>
      <w:r>
        <w:rPr>
          <w:bCs/>
          <w:i/>
          <w:sz w:val="22"/>
        </w:rPr>
        <w:t xml:space="preserve">Introduce </w:t>
      </w:r>
      <w:r w:rsidR="000F2775">
        <w:rPr>
          <w:bCs/>
          <w:i/>
          <w:sz w:val="22"/>
        </w:rPr>
        <w:t xml:space="preserve">reporting of </w:t>
      </w:r>
      <w:r>
        <w:rPr>
          <w:bCs/>
          <w:i/>
          <w:sz w:val="22"/>
        </w:rPr>
        <w:t xml:space="preserve">SSBRI(s)/CRI(s) </w:t>
      </w:r>
      <w:r w:rsidR="000F2775">
        <w:rPr>
          <w:bCs/>
          <w:i/>
          <w:sz w:val="22"/>
        </w:rPr>
        <w:t>to indicate gNB beam(s) with an association with a specific panel (e.g., TCI state group ID or panel ID).</w:t>
      </w:r>
    </w:p>
    <w:p w14:paraId="1CED2690" w14:textId="1A34432A" w:rsidR="000F2775" w:rsidRPr="00B91B7E" w:rsidRDefault="000F2775" w:rsidP="000F2775">
      <w:pPr>
        <w:spacing w:after="0"/>
        <w:contextualSpacing/>
        <w:jc w:val="both"/>
        <w:rPr>
          <w:bCs/>
          <w:i/>
          <w:sz w:val="22"/>
        </w:rPr>
      </w:pPr>
      <w:r w:rsidRPr="00B91B7E">
        <w:rPr>
          <w:b/>
          <w:i/>
          <w:sz w:val="22"/>
        </w:rPr>
        <w:t xml:space="preserve">Proposal </w:t>
      </w:r>
      <w:r w:rsidR="00240872">
        <w:rPr>
          <w:b/>
          <w:i/>
          <w:sz w:val="22"/>
        </w:rPr>
        <w:t>12</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indication and UE-centric determination of a TCI state in the indicated TCI state group</w:t>
      </w:r>
    </w:p>
    <w:p w14:paraId="69B7F3AC" w14:textId="6A8784D8" w:rsidR="005A6B80" w:rsidRPr="00B91B7E" w:rsidRDefault="005A6B80" w:rsidP="002419AB">
      <w:pPr>
        <w:spacing w:after="120" w:line="276" w:lineRule="auto"/>
        <w:contextualSpacing/>
        <w:jc w:val="both"/>
        <w:rPr>
          <w:bCs/>
          <w:i/>
          <w:sz w:val="22"/>
        </w:rPr>
      </w:pPr>
      <w:r w:rsidRPr="00B91B7E">
        <w:rPr>
          <w:b/>
          <w:i/>
          <w:sz w:val="22"/>
        </w:rPr>
        <w:t xml:space="preserve">Proposal </w:t>
      </w:r>
      <w:r w:rsidR="00240872">
        <w:rPr>
          <w:b/>
          <w:i/>
          <w:sz w:val="22"/>
        </w:rPr>
        <w:t>13</w:t>
      </w:r>
      <w:r w:rsidRPr="00B91B7E">
        <w:rPr>
          <w:b/>
          <w:i/>
          <w:sz w:val="22"/>
        </w:rPr>
        <w:t xml:space="preserve">: </w:t>
      </w:r>
      <w:r w:rsidRPr="00B91B7E">
        <w:rPr>
          <w:bCs/>
          <w:i/>
          <w:sz w:val="22"/>
        </w:rPr>
        <w:t xml:space="preserve">Consider gNB confirmation mechanism to align beam information between UE and gNB. </w:t>
      </w:r>
    </w:p>
    <w:p w14:paraId="32220EEF" w14:textId="77777777" w:rsidR="00C4142E" w:rsidRPr="00B91B7E" w:rsidRDefault="00C4142E" w:rsidP="00C06D45">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References</w:t>
      </w:r>
    </w:p>
    <w:p w14:paraId="6D09844A" w14:textId="0F596F76" w:rsidR="00F203B2" w:rsidRPr="00F203B2" w:rsidRDefault="004B58CA" w:rsidP="009B4198">
      <w:pPr>
        <w:pStyle w:val="BodyText"/>
        <w:numPr>
          <w:ilvl w:val="0"/>
          <w:numId w:val="11"/>
        </w:numPr>
        <w:overflowPunct/>
        <w:autoSpaceDE/>
        <w:autoSpaceDN/>
        <w:adjustRightInd/>
        <w:spacing w:after="0"/>
        <w:contextualSpacing/>
        <w:textAlignment w:val="auto"/>
        <w:rPr>
          <w:rFonts w:ascii="Times New Roman" w:hAnsi="Times New Roman"/>
          <w:sz w:val="22"/>
        </w:rPr>
      </w:pPr>
      <w:r w:rsidRPr="006972B2">
        <w:rPr>
          <w:rFonts w:ascii="Times New Roman" w:hAnsi="Times New Roman"/>
          <w:sz w:val="22"/>
          <w:szCs w:val="20"/>
        </w:rPr>
        <w:t>“Final Report of 3GPP TSG RAN WG1 #</w:t>
      </w:r>
      <w:r w:rsidR="00E22FD1" w:rsidRPr="006972B2">
        <w:rPr>
          <w:rFonts w:ascii="Times New Roman" w:hAnsi="Times New Roman"/>
          <w:sz w:val="22"/>
          <w:szCs w:val="20"/>
        </w:rPr>
        <w:t>10</w:t>
      </w:r>
      <w:r w:rsidR="00E22FD1">
        <w:rPr>
          <w:rFonts w:ascii="Times New Roman" w:hAnsi="Times New Roman"/>
          <w:sz w:val="22"/>
          <w:szCs w:val="20"/>
        </w:rPr>
        <w:t>5</w:t>
      </w:r>
      <w:r w:rsidRPr="006972B2">
        <w:rPr>
          <w:rFonts w:ascii="Times New Roman" w:hAnsi="Times New Roman"/>
          <w:sz w:val="22"/>
          <w:szCs w:val="20"/>
        </w:rPr>
        <w:t>-e”, 3GPP RAN1 Meeting #</w:t>
      </w:r>
      <w:r w:rsidR="00E22FD1" w:rsidRPr="006972B2">
        <w:rPr>
          <w:rFonts w:ascii="Times New Roman" w:hAnsi="Times New Roman"/>
          <w:sz w:val="22"/>
          <w:szCs w:val="20"/>
        </w:rPr>
        <w:t>10</w:t>
      </w:r>
      <w:r w:rsidR="00E22FD1">
        <w:rPr>
          <w:rFonts w:ascii="Times New Roman" w:hAnsi="Times New Roman"/>
          <w:sz w:val="22"/>
          <w:szCs w:val="20"/>
        </w:rPr>
        <w:t>5</w:t>
      </w:r>
      <w:r w:rsidRPr="006972B2">
        <w:rPr>
          <w:rFonts w:ascii="Times New Roman" w:hAnsi="Times New Roman"/>
          <w:sz w:val="22"/>
          <w:szCs w:val="20"/>
        </w:rPr>
        <w:t xml:space="preserve">-e, e-Meeting, </w:t>
      </w:r>
      <w:r w:rsidR="00E22FD1">
        <w:rPr>
          <w:rFonts w:ascii="Times New Roman" w:hAnsi="Times New Roman"/>
          <w:sz w:val="22"/>
          <w:szCs w:val="20"/>
        </w:rPr>
        <w:t>May</w:t>
      </w:r>
      <w:r w:rsidR="00D740F8" w:rsidRPr="006972B2">
        <w:rPr>
          <w:rFonts w:ascii="Times New Roman" w:hAnsi="Times New Roman"/>
          <w:sz w:val="22"/>
          <w:szCs w:val="20"/>
        </w:rPr>
        <w:t xml:space="preserve"> </w:t>
      </w:r>
      <w:r w:rsidR="00E22FD1">
        <w:rPr>
          <w:rFonts w:ascii="Times New Roman" w:hAnsi="Times New Roman"/>
          <w:sz w:val="22"/>
          <w:szCs w:val="20"/>
        </w:rPr>
        <w:t>10</w:t>
      </w:r>
      <w:r w:rsidR="00E22FD1" w:rsidRPr="006972B2">
        <w:rPr>
          <w:rFonts w:ascii="Times New Roman" w:hAnsi="Times New Roman"/>
          <w:sz w:val="22"/>
          <w:szCs w:val="20"/>
          <w:vertAlign w:val="superscript"/>
        </w:rPr>
        <w:t>th</w:t>
      </w:r>
      <w:r w:rsidR="00E22FD1" w:rsidRPr="006972B2">
        <w:rPr>
          <w:rFonts w:ascii="Times New Roman" w:hAnsi="Times New Roman"/>
          <w:sz w:val="22"/>
          <w:szCs w:val="20"/>
        </w:rPr>
        <w:t xml:space="preserve"> </w:t>
      </w:r>
      <w:r w:rsidRPr="006972B2">
        <w:rPr>
          <w:rFonts w:ascii="Times New Roman" w:hAnsi="Times New Roman"/>
          <w:sz w:val="22"/>
          <w:szCs w:val="20"/>
        </w:rPr>
        <w:t xml:space="preserve">– </w:t>
      </w:r>
      <w:r w:rsidR="00D740F8">
        <w:rPr>
          <w:rFonts w:ascii="Times New Roman" w:hAnsi="Times New Roman"/>
          <w:sz w:val="22"/>
          <w:szCs w:val="20"/>
        </w:rPr>
        <w:t>2</w:t>
      </w:r>
      <w:r w:rsidR="00E22FD1">
        <w:rPr>
          <w:rFonts w:ascii="Times New Roman" w:hAnsi="Times New Roman"/>
          <w:sz w:val="22"/>
          <w:szCs w:val="20"/>
        </w:rPr>
        <w:t>7</w:t>
      </w:r>
      <w:r w:rsidRPr="006972B2">
        <w:rPr>
          <w:rFonts w:ascii="Times New Roman" w:hAnsi="Times New Roman"/>
          <w:sz w:val="22"/>
          <w:szCs w:val="20"/>
          <w:vertAlign w:val="superscript"/>
        </w:rPr>
        <w:t>th</w:t>
      </w:r>
      <w:r w:rsidR="00662D8F" w:rsidRPr="006972B2">
        <w:rPr>
          <w:rFonts w:ascii="Times New Roman" w:hAnsi="Times New Roman"/>
          <w:sz w:val="22"/>
          <w:szCs w:val="20"/>
        </w:rPr>
        <w:t>,</w:t>
      </w:r>
      <w:r w:rsidRPr="006972B2">
        <w:rPr>
          <w:rFonts w:ascii="Times New Roman" w:hAnsi="Times New Roman"/>
          <w:sz w:val="22"/>
          <w:szCs w:val="20"/>
        </w:rPr>
        <w:t xml:space="preserve"> 202</w:t>
      </w:r>
      <w:r w:rsidR="00D740F8">
        <w:rPr>
          <w:rFonts w:ascii="Times New Roman" w:hAnsi="Times New Roman"/>
          <w:sz w:val="22"/>
          <w:szCs w:val="20"/>
        </w:rPr>
        <w:t>1</w:t>
      </w:r>
    </w:p>
    <w:p w14:paraId="5FDEBD73" w14:textId="7515B4BE" w:rsidR="00234B99" w:rsidRDefault="00F203B2" w:rsidP="00F203B2">
      <w:pPr>
        <w:pStyle w:val="BodyText"/>
        <w:numPr>
          <w:ilvl w:val="0"/>
          <w:numId w:val="11"/>
        </w:numPr>
        <w:overflowPunct/>
        <w:autoSpaceDE/>
        <w:autoSpaceDN/>
        <w:adjustRightInd/>
        <w:spacing w:after="0"/>
        <w:contextualSpacing/>
        <w:textAlignment w:val="auto"/>
        <w:rPr>
          <w:rFonts w:ascii="Times New Roman" w:hAnsi="Times New Roman"/>
          <w:sz w:val="22"/>
        </w:rPr>
      </w:pPr>
      <w:r w:rsidRPr="00F203B2">
        <w:rPr>
          <w:rFonts w:ascii="Times New Roman" w:hAnsi="Times New Roman"/>
          <w:sz w:val="22"/>
          <w:szCs w:val="20"/>
        </w:rPr>
        <w:t>“Final Report of 3GPP TSG RAN WG1 #104-e”, 3GPP RAN1 Meeting #</w:t>
      </w:r>
      <w:r w:rsidR="008909C3" w:rsidRPr="00F203B2">
        <w:rPr>
          <w:rFonts w:ascii="Times New Roman" w:hAnsi="Times New Roman"/>
          <w:sz w:val="22"/>
          <w:szCs w:val="20"/>
        </w:rPr>
        <w:t>10</w:t>
      </w:r>
      <w:r w:rsidR="008909C3">
        <w:rPr>
          <w:rFonts w:ascii="Times New Roman" w:hAnsi="Times New Roman"/>
          <w:sz w:val="22"/>
          <w:szCs w:val="20"/>
        </w:rPr>
        <w:t>4</w:t>
      </w:r>
      <w:r w:rsidRPr="00F203B2">
        <w:rPr>
          <w:rFonts w:ascii="Times New Roman" w:hAnsi="Times New Roman"/>
          <w:sz w:val="22"/>
          <w:szCs w:val="20"/>
        </w:rPr>
        <w:t xml:space="preserve">-e, e-Meeting, </w:t>
      </w:r>
      <w:r>
        <w:rPr>
          <w:rFonts w:ascii="Times New Roman" w:hAnsi="Times New Roman"/>
          <w:sz w:val="22"/>
          <w:szCs w:val="20"/>
        </w:rPr>
        <w:t>January</w:t>
      </w:r>
      <w:r w:rsidRPr="00F203B2">
        <w:rPr>
          <w:rFonts w:ascii="Times New Roman" w:hAnsi="Times New Roman"/>
          <w:sz w:val="22"/>
          <w:szCs w:val="20"/>
        </w:rPr>
        <w:t xml:space="preserve"> 2</w:t>
      </w:r>
      <w:r>
        <w:rPr>
          <w:rFonts w:ascii="Times New Roman" w:hAnsi="Times New Roman"/>
          <w:sz w:val="22"/>
          <w:szCs w:val="20"/>
        </w:rPr>
        <w:t>5</w:t>
      </w:r>
      <w:r w:rsidRPr="00F203B2">
        <w:rPr>
          <w:rFonts w:ascii="Times New Roman" w:hAnsi="Times New Roman"/>
          <w:sz w:val="22"/>
          <w:szCs w:val="20"/>
          <w:vertAlign w:val="superscript"/>
        </w:rPr>
        <w:t>th</w:t>
      </w:r>
      <w:r w:rsidRPr="00F203B2">
        <w:rPr>
          <w:rFonts w:ascii="Times New Roman" w:hAnsi="Times New Roman"/>
          <w:sz w:val="22"/>
          <w:szCs w:val="20"/>
        </w:rPr>
        <w:t xml:space="preserve"> – </w:t>
      </w:r>
      <w:r>
        <w:rPr>
          <w:rFonts w:ascii="Times New Roman" w:hAnsi="Times New Roman"/>
          <w:sz w:val="22"/>
          <w:szCs w:val="20"/>
        </w:rPr>
        <w:t>February</w:t>
      </w:r>
      <w:r w:rsidRPr="00F203B2">
        <w:rPr>
          <w:rFonts w:ascii="Times New Roman" w:hAnsi="Times New Roman"/>
          <w:sz w:val="22"/>
          <w:szCs w:val="20"/>
        </w:rPr>
        <w:t xml:space="preserve"> </w:t>
      </w:r>
      <w:r>
        <w:rPr>
          <w:rFonts w:ascii="Times New Roman" w:hAnsi="Times New Roman"/>
          <w:sz w:val="22"/>
          <w:szCs w:val="20"/>
        </w:rPr>
        <w:t>5</w:t>
      </w:r>
      <w:r w:rsidRPr="00F203B2">
        <w:rPr>
          <w:rFonts w:ascii="Times New Roman" w:hAnsi="Times New Roman"/>
          <w:sz w:val="22"/>
          <w:szCs w:val="20"/>
          <w:vertAlign w:val="superscript"/>
        </w:rPr>
        <w:t>th</w:t>
      </w:r>
      <w:r w:rsidRPr="00F203B2">
        <w:rPr>
          <w:rFonts w:ascii="Times New Roman" w:hAnsi="Times New Roman"/>
          <w:sz w:val="22"/>
          <w:szCs w:val="20"/>
        </w:rPr>
        <w:t>, 202</w:t>
      </w:r>
      <w:r>
        <w:rPr>
          <w:rFonts w:ascii="Times New Roman" w:hAnsi="Times New Roman"/>
          <w:sz w:val="22"/>
          <w:szCs w:val="20"/>
        </w:rPr>
        <w:t>1</w:t>
      </w:r>
      <w:r w:rsidRPr="00F203B2">
        <w:rPr>
          <w:rFonts w:ascii="Times New Roman" w:hAnsi="Times New Roman"/>
          <w:sz w:val="22"/>
        </w:rPr>
        <w:t>.</w:t>
      </w:r>
    </w:p>
    <w:p w14:paraId="4F5B7F6A" w14:textId="410B63A0" w:rsidR="008909C3" w:rsidRDefault="008909C3" w:rsidP="00F203B2">
      <w:pPr>
        <w:pStyle w:val="BodyText"/>
        <w:numPr>
          <w:ilvl w:val="0"/>
          <w:numId w:val="11"/>
        </w:numPr>
        <w:overflowPunct/>
        <w:autoSpaceDE/>
        <w:autoSpaceDN/>
        <w:adjustRightInd/>
        <w:spacing w:after="0"/>
        <w:contextualSpacing/>
        <w:textAlignment w:val="auto"/>
        <w:rPr>
          <w:rFonts w:ascii="Times New Roman" w:hAnsi="Times New Roman"/>
          <w:sz w:val="22"/>
        </w:rPr>
      </w:pPr>
      <w:r w:rsidRPr="008909C3">
        <w:rPr>
          <w:rFonts w:ascii="Times New Roman" w:hAnsi="Times New Roman"/>
          <w:sz w:val="22"/>
        </w:rPr>
        <w:t>RP-</w:t>
      </w:r>
      <w:r>
        <w:rPr>
          <w:rFonts w:ascii="Times New Roman" w:hAnsi="Times New Roman"/>
          <w:sz w:val="22"/>
          <w:szCs w:val="20"/>
        </w:rPr>
        <w:t>211586</w:t>
      </w:r>
      <w:r w:rsidRPr="008909C3">
        <w:rPr>
          <w:rFonts w:ascii="Times New Roman" w:hAnsi="Times New Roman"/>
          <w:sz w:val="22"/>
        </w:rPr>
        <w:t>, “</w:t>
      </w:r>
      <w:r>
        <w:rPr>
          <w:rFonts w:ascii="Times New Roman" w:hAnsi="Times New Roman"/>
          <w:sz w:val="22"/>
          <w:szCs w:val="20"/>
        </w:rPr>
        <w:t>Revised WID</w:t>
      </w:r>
      <w:r w:rsidRPr="008909C3">
        <w:rPr>
          <w:rFonts w:ascii="Times New Roman" w:hAnsi="Times New Roman"/>
          <w:sz w:val="22"/>
        </w:rPr>
        <w:t>: Further enhancements on MIMO for NR”, Samsung, 3GPP RAN Meeting #</w:t>
      </w:r>
      <w:r>
        <w:rPr>
          <w:rFonts w:ascii="Times New Roman" w:hAnsi="Times New Roman"/>
          <w:sz w:val="22"/>
        </w:rPr>
        <w:t>92e</w:t>
      </w:r>
      <w:r w:rsidRPr="008909C3">
        <w:rPr>
          <w:rFonts w:ascii="Times New Roman" w:hAnsi="Times New Roman"/>
          <w:sz w:val="22"/>
        </w:rPr>
        <w:t>,</w:t>
      </w:r>
      <w:r>
        <w:rPr>
          <w:rFonts w:ascii="Times New Roman" w:hAnsi="Times New Roman"/>
          <w:sz w:val="22"/>
        </w:rPr>
        <w:t xml:space="preserve"> e-Meeting</w:t>
      </w:r>
      <w:r w:rsidRPr="008909C3">
        <w:rPr>
          <w:rFonts w:ascii="Times New Roman" w:hAnsi="Times New Roman"/>
          <w:sz w:val="22"/>
        </w:rPr>
        <w:t xml:space="preserve">, </w:t>
      </w:r>
      <w:r>
        <w:rPr>
          <w:rFonts w:ascii="Times New Roman" w:hAnsi="Times New Roman"/>
          <w:sz w:val="22"/>
        </w:rPr>
        <w:t>June</w:t>
      </w:r>
      <w:r w:rsidRPr="008909C3">
        <w:rPr>
          <w:rFonts w:ascii="Times New Roman" w:hAnsi="Times New Roman"/>
          <w:sz w:val="22"/>
        </w:rPr>
        <w:t xml:space="preserve"> </w:t>
      </w:r>
      <w:r>
        <w:rPr>
          <w:rFonts w:ascii="Times New Roman" w:hAnsi="Times New Roman"/>
          <w:sz w:val="22"/>
        </w:rPr>
        <w:t>14</w:t>
      </w:r>
      <w:r w:rsidRPr="008909C3">
        <w:rPr>
          <w:rFonts w:ascii="Times New Roman" w:hAnsi="Times New Roman"/>
          <w:sz w:val="22"/>
        </w:rPr>
        <w:t>-1</w:t>
      </w:r>
      <w:r>
        <w:rPr>
          <w:rFonts w:ascii="Times New Roman" w:hAnsi="Times New Roman"/>
          <w:sz w:val="22"/>
        </w:rPr>
        <w:t>8</w:t>
      </w:r>
      <w:r w:rsidRPr="008909C3">
        <w:rPr>
          <w:rFonts w:ascii="Times New Roman" w:hAnsi="Times New Roman"/>
          <w:sz w:val="22"/>
        </w:rPr>
        <w:t>, 20</w:t>
      </w:r>
      <w:r>
        <w:rPr>
          <w:rFonts w:ascii="Times New Roman" w:hAnsi="Times New Roman"/>
          <w:sz w:val="22"/>
        </w:rPr>
        <w:t>21.</w:t>
      </w:r>
    </w:p>
    <w:p w14:paraId="6CF9C917" w14:textId="14D41861" w:rsidR="000950C2" w:rsidRPr="000950C2" w:rsidRDefault="000950C2" w:rsidP="000950C2">
      <w:pPr>
        <w:pStyle w:val="BodyText"/>
        <w:numPr>
          <w:ilvl w:val="0"/>
          <w:numId w:val="11"/>
        </w:numPr>
        <w:overflowPunct/>
        <w:autoSpaceDE/>
        <w:autoSpaceDN/>
        <w:adjustRightInd/>
        <w:spacing w:after="0"/>
        <w:contextualSpacing/>
        <w:textAlignment w:val="auto"/>
        <w:rPr>
          <w:rFonts w:ascii="Times New Roman" w:hAnsi="Times New Roman"/>
          <w:sz w:val="22"/>
        </w:rPr>
      </w:pPr>
      <w:r w:rsidRPr="00F203B2">
        <w:rPr>
          <w:rFonts w:ascii="Times New Roman" w:hAnsi="Times New Roman"/>
          <w:sz w:val="22"/>
          <w:szCs w:val="20"/>
        </w:rPr>
        <w:t>“Final Report of 3GPP TSG RAN WG1 #10</w:t>
      </w:r>
      <w:r>
        <w:rPr>
          <w:rFonts w:ascii="Times New Roman" w:hAnsi="Times New Roman"/>
          <w:sz w:val="22"/>
          <w:szCs w:val="20"/>
        </w:rPr>
        <w:t>3</w:t>
      </w:r>
      <w:r w:rsidRPr="00F203B2">
        <w:rPr>
          <w:rFonts w:ascii="Times New Roman" w:hAnsi="Times New Roman"/>
          <w:sz w:val="22"/>
          <w:szCs w:val="20"/>
        </w:rPr>
        <w:t>-e”, 3GPP RAN1 Meeting #10</w:t>
      </w:r>
      <w:r>
        <w:rPr>
          <w:rFonts w:ascii="Times New Roman" w:hAnsi="Times New Roman"/>
          <w:sz w:val="22"/>
          <w:szCs w:val="20"/>
        </w:rPr>
        <w:t>3</w:t>
      </w:r>
      <w:r w:rsidRPr="00F203B2">
        <w:rPr>
          <w:rFonts w:ascii="Times New Roman" w:hAnsi="Times New Roman"/>
          <w:sz w:val="22"/>
          <w:szCs w:val="20"/>
        </w:rPr>
        <w:t xml:space="preserve">-e, e-Meeting, </w:t>
      </w:r>
      <w:r>
        <w:rPr>
          <w:rFonts w:ascii="Times New Roman" w:hAnsi="Times New Roman"/>
          <w:sz w:val="22"/>
          <w:szCs w:val="20"/>
        </w:rPr>
        <w:t>October</w:t>
      </w:r>
      <w:r w:rsidRPr="00F203B2">
        <w:rPr>
          <w:rFonts w:ascii="Times New Roman" w:hAnsi="Times New Roman"/>
          <w:sz w:val="22"/>
          <w:szCs w:val="20"/>
        </w:rPr>
        <w:t xml:space="preserve"> 2</w:t>
      </w:r>
      <w:r>
        <w:rPr>
          <w:rFonts w:ascii="Times New Roman" w:hAnsi="Times New Roman"/>
          <w:sz w:val="22"/>
          <w:szCs w:val="20"/>
        </w:rPr>
        <w:t>6</w:t>
      </w:r>
      <w:r w:rsidRPr="00F203B2">
        <w:rPr>
          <w:rFonts w:ascii="Times New Roman" w:hAnsi="Times New Roman"/>
          <w:sz w:val="22"/>
          <w:szCs w:val="20"/>
          <w:vertAlign w:val="superscript"/>
        </w:rPr>
        <w:t>th</w:t>
      </w:r>
      <w:r w:rsidRPr="00F203B2">
        <w:rPr>
          <w:rFonts w:ascii="Times New Roman" w:hAnsi="Times New Roman"/>
          <w:sz w:val="22"/>
          <w:szCs w:val="20"/>
        </w:rPr>
        <w:t xml:space="preserve"> – </w:t>
      </w:r>
      <w:r>
        <w:rPr>
          <w:rFonts w:ascii="Times New Roman" w:hAnsi="Times New Roman"/>
          <w:sz w:val="22"/>
          <w:szCs w:val="20"/>
        </w:rPr>
        <w:t>November</w:t>
      </w:r>
      <w:r w:rsidRPr="00F203B2">
        <w:rPr>
          <w:rFonts w:ascii="Times New Roman" w:hAnsi="Times New Roman"/>
          <w:sz w:val="22"/>
          <w:szCs w:val="20"/>
        </w:rPr>
        <w:t xml:space="preserve"> </w:t>
      </w:r>
      <w:r>
        <w:rPr>
          <w:rFonts w:ascii="Times New Roman" w:hAnsi="Times New Roman"/>
          <w:sz w:val="22"/>
          <w:szCs w:val="20"/>
        </w:rPr>
        <w:t>13</w:t>
      </w:r>
      <w:r w:rsidRPr="00F203B2">
        <w:rPr>
          <w:rFonts w:ascii="Times New Roman" w:hAnsi="Times New Roman"/>
          <w:sz w:val="22"/>
          <w:szCs w:val="20"/>
          <w:vertAlign w:val="superscript"/>
        </w:rPr>
        <w:t>th</w:t>
      </w:r>
      <w:r w:rsidRPr="00F203B2">
        <w:rPr>
          <w:rFonts w:ascii="Times New Roman" w:hAnsi="Times New Roman"/>
          <w:sz w:val="22"/>
          <w:szCs w:val="20"/>
        </w:rPr>
        <w:t>, 202</w:t>
      </w:r>
      <w:r>
        <w:rPr>
          <w:rFonts w:ascii="Times New Roman" w:hAnsi="Times New Roman"/>
          <w:sz w:val="22"/>
          <w:szCs w:val="20"/>
        </w:rPr>
        <w:t>0</w:t>
      </w:r>
      <w:r w:rsidRPr="00F203B2">
        <w:rPr>
          <w:rFonts w:ascii="Times New Roman" w:hAnsi="Times New Roman"/>
          <w:sz w:val="22"/>
        </w:rPr>
        <w:t>.</w:t>
      </w:r>
    </w:p>
    <w:p w14:paraId="25A5ACF5" w14:textId="3CC710E9" w:rsidR="000E63A0" w:rsidRPr="006F59CD" w:rsidRDefault="000E63A0" w:rsidP="000E63A0">
      <w:pPr>
        <w:pStyle w:val="Reference"/>
        <w:overflowPunct/>
        <w:autoSpaceDE/>
        <w:spacing w:after="0"/>
        <w:contextualSpacing/>
        <w:jc w:val="both"/>
        <w:textAlignment w:val="auto"/>
        <w:rPr>
          <w:lang w:val="en-US"/>
        </w:rPr>
      </w:pPr>
    </w:p>
    <w:p w14:paraId="5FE8F131" w14:textId="00C88DEF" w:rsidR="000E63A0" w:rsidRPr="00B91B7E" w:rsidRDefault="00BD78FA" w:rsidP="002F0CAC">
      <w:pPr>
        <w:pStyle w:val="Reference"/>
        <w:overflowPunct/>
        <w:autoSpaceDE/>
        <w:spacing w:after="0"/>
        <w:contextualSpacing/>
        <w:jc w:val="both"/>
        <w:textAlignment w:val="auto"/>
      </w:pPr>
      <w:r>
        <w:t xml:space="preserve">  </w:t>
      </w:r>
    </w:p>
    <w:sectPr w:rsidR="000E63A0" w:rsidRPr="00B91B7E"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189AD" w14:textId="77777777" w:rsidR="00FD488D" w:rsidRDefault="00FD488D">
      <w:r>
        <w:separator/>
      </w:r>
    </w:p>
  </w:endnote>
  <w:endnote w:type="continuationSeparator" w:id="0">
    <w:p w14:paraId="054AB09D" w14:textId="77777777" w:rsidR="00FD488D" w:rsidRDefault="00FD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5E15A4" w:rsidRDefault="005E15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E15A4" w:rsidRDefault="005E15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5E15A4" w:rsidRDefault="005E15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D16B1" w14:textId="77777777" w:rsidR="00FD488D" w:rsidRDefault="00FD488D">
      <w:r>
        <w:separator/>
      </w:r>
    </w:p>
  </w:footnote>
  <w:footnote w:type="continuationSeparator" w:id="0">
    <w:p w14:paraId="34B91F7C" w14:textId="77777777" w:rsidR="00FD488D" w:rsidRDefault="00FD4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5E15A4" w:rsidRDefault="005E15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27056"/>
    <w:multiLevelType w:val="hybridMultilevel"/>
    <w:tmpl w:val="2092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E6069"/>
    <w:multiLevelType w:val="hybridMultilevel"/>
    <w:tmpl w:val="694E4C58"/>
    <w:lvl w:ilvl="0" w:tplc="04090001">
      <w:start w:val="1"/>
      <w:numFmt w:val="bullet"/>
      <w:lvlText w:val=""/>
      <w:lvlJc w:val="left"/>
      <w:pPr>
        <w:ind w:left="760" w:hanging="360"/>
      </w:pPr>
      <w:rPr>
        <w:rFonts w:ascii="Symbol" w:hAnsi="Symbol" w:hint="default"/>
        <w:b/>
        <w:color w:val="auto"/>
        <w:sz w:val="22"/>
      </w:rPr>
    </w:lvl>
    <w:lvl w:ilvl="1" w:tplc="2EC25788">
      <w:start w:val="6"/>
      <w:numFmt w:val="bullet"/>
      <w:lvlText w:val="-"/>
      <w:lvlJc w:val="left"/>
      <w:pPr>
        <w:ind w:left="1200" w:hanging="400"/>
      </w:pPr>
      <w:rPr>
        <w:rFonts w:ascii="Arial" w:eastAsia="SimSun" w:hAnsi="Arial" w:cs="Aria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8"/>
  </w:num>
  <w:num w:numId="7">
    <w:abstractNumId w:val="10"/>
    <w:lvlOverride w:ilvl="0">
      <w:startOverride w:val="1"/>
    </w:lvlOverride>
  </w:num>
  <w:num w:numId="8">
    <w:abstractNumId w:val="4"/>
  </w:num>
  <w:num w:numId="9">
    <w:abstractNumId w:val="21"/>
  </w:num>
  <w:num w:numId="10">
    <w:abstractNumId w:val="27"/>
  </w:num>
  <w:num w:numId="11">
    <w:abstractNumId w:val="5"/>
  </w:num>
  <w:num w:numId="12">
    <w:abstractNumId w:val="20"/>
  </w:num>
  <w:num w:numId="13">
    <w:abstractNumId w:val="24"/>
  </w:num>
  <w:num w:numId="14">
    <w:abstractNumId w:val="11"/>
    <w:lvlOverride w:ilvl="0"/>
    <w:lvlOverride w:ilvl="1">
      <w:startOverride w:val="1"/>
    </w:lvlOverride>
    <w:lvlOverride w:ilvl="2"/>
    <w:lvlOverride w:ilvl="3"/>
    <w:lvlOverride w:ilvl="4"/>
    <w:lvlOverride w:ilvl="5"/>
    <w:lvlOverride w:ilvl="6"/>
    <w:lvlOverride w:ilvl="7"/>
    <w:lvlOverride w:ilvl="8"/>
  </w:num>
  <w:num w:numId="15">
    <w:abstractNumId w:val="19"/>
  </w:num>
  <w:num w:numId="16">
    <w:abstractNumId w:val="8"/>
  </w:num>
  <w:num w:numId="17">
    <w:abstractNumId w:val="2"/>
  </w:num>
  <w:num w:numId="18">
    <w:abstractNumId w:val="15"/>
  </w:num>
  <w:num w:numId="19">
    <w:abstractNumId w:val="16"/>
  </w:num>
  <w:num w:numId="20">
    <w:abstractNumId w:val="9"/>
  </w:num>
  <w:num w:numId="21">
    <w:abstractNumId w:val="14"/>
  </w:num>
  <w:num w:numId="22">
    <w:abstractNumId w:val="25"/>
  </w:num>
  <w:num w:numId="23">
    <w:abstractNumId w:val="22"/>
  </w:num>
  <w:num w:numId="24">
    <w:abstractNumId w:val="23"/>
  </w:num>
  <w:num w:numId="25">
    <w:abstractNumId w:val="9"/>
  </w:num>
  <w:num w:numId="26">
    <w:abstractNumId w:val="13"/>
  </w:num>
  <w:num w:numId="27">
    <w:abstractNumId w:val="13"/>
  </w:num>
  <w:num w:numId="28">
    <w:abstractNumId w:val="17"/>
  </w:num>
  <w:num w:numId="2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D5B"/>
    <w:rsid w:val="00006E62"/>
    <w:rsid w:val="00007207"/>
    <w:rsid w:val="000072BD"/>
    <w:rsid w:val="00007500"/>
    <w:rsid w:val="00007605"/>
    <w:rsid w:val="000077B5"/>
    <w:rsid w:val="0000792C"/>
    <w:rsid w:val="00007CEF"/>
    <w:rsid w:val="0001004F"/>
    <w:rsid w:val="000101EF"/>
    <w:rsid w:val="00010AF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B9"/>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99F"/>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2D"/>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599"/>
    <w:rsid w:val="00060873"/>
    <w:rsid w:val="00060FDB"/>
    <w:rsid w:val="000612C5"/>
    <w:rsid w:val="00061336"/>
    <w:rsid w:val="00061985"/>
    <w:rsid w:val="00061E2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6C31"/>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0E"/>
    <w:rsid w:val="000839CE"/>
    <w:rsid w:val="00083E97"/>
    <w:rsid w:val="00083EBD"/>
    <w:rsid w:val="00084255"/>
    <w:rsid w:val="00085201"/>
    <w:rsid w:val="00085211"/>
    <w:rsid w:val="00085239"/>
    <w:rsid w:val="0008579B"/>
    <w:rsid w:val="000862BA"/>
    <w:rsid w:val="00086A02"/>
    <w:rsid w:val="00086B50"/>
    <w:rsid w:val="00086C4D"/>
    <w:rsid w:val="00086CF2"/>
    <w:rsid w:val="00086DA1"/>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0C2"/>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94C"/>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4E6"/>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B7D7A"/>
    <w:rsid w:val="000C0061"/>
    <w:rsid w:val="000C0BEF"/>
    <w:rsid w:val="000C133A"/>
    <w:rsid w:val="000C143C"/>
    <w:rsid w:val="000C16BB"/>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1E36"/>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83C"/>
    <w:rsid w:val="000D59D6"/>
    <w:rsid w:val="000D5A91"/>
    <w:rsid w:val="000D5AB0"/>
    <w:rsid w:val="000D5AD1"/>
    <w:rsid w:val="000D5C0C"/>
    <w:rsid w:val="000D5E4D"/>
    <w:rsid w:val="000D5F11"/>
    <w:rsid w:val="000D697E"/>
    <w:rsid w:val="000D6B62"/>
    <w:rsid w:val="000D6E96"/>
    <w:rsid w:val="000D713B"/>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23"/>
    <w:rsid w:val="000F1CF3"/>
    <w:rsid w:val="000F203A"/>
    <w:rsid w:val="000F20CD"/>
    <w:rsid w:val="000F21E3"/>
    <w:rsid w:val="000F2775"/>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492"/>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EC9"/>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DAB"/>
    <w:rsid w:val="00115F76"/>
    <w:rsid w:val="0011677E"/>
    <w:rsid w:val="00116C09"/>
    <w:rsid w:val="00116EBA"/>
    <w:rsid w:val="00116F22"/>
    <w:rsid w:val="00117514"/>
    <w:rsid w:val="00117957"/>
    <w:rsid w:val="00117B90"/>
    <w:rsid w:val="0012022B"/>
    <w:rsid w:val="001202A3"/>
    <w:rsid w:val="001203DB"/>
    <w:rsid w:val="00120525"/>
    <w:rsid w:val="0012079F"/>
    <w:rsid w:val="001207F3"/>
    <w:rsid w:val="00120C4E"/>
    <w:rsid w:val="00120D2A"/>
    <w:rsid w:val="00121897"/>
    <w:rsid w:val="00121AF7"/>
    <w:rsid w:val="00121E20"/>
    <w:rsid w:val="00121FDE"/>
    <w:rsid w:val="00121FF9"/>
    <w:rsid w:val="00122581"/>
    <w:rsid w:val="00122842"/>
    <w:rsid w:val="00122EB3"/>
    <w:rsid w:val="00123236"/>
    <w:rsid w:val="0012343D"/>
    <w:rsid w:val="0012345C"/>
    <w:rsid w:val="001235C4"/>
    <w:rsid w:val="001238F6"/>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723"/>
    <w:rsid w:val="00130953"/>
    <w:rsid w:val="00130EFD"/>
    <w:rsid w:val="00130F15"/>
    <w:rsid w:val="00131443"/>
    <w:rsid w:val="00131683"/>
    <w:rsid w:val="001316D9"/>
    <w:rsid w:val="00131AC6"/>
    <w:rsid w:val="00131B2C"/>
    <w:rsid w:val="00131D29"/>
    <w:rsid w:val="001320F7"/>
    <w:rsid w:val="001321CE"/>
    <w:rsid w:val="001322B0"/>
    <w:rsid w:val="00132692"/>
    <w:rsid w:val="00132767"/>
    <w:rsid w:val="00132917"/>
    <w:rsid w:val="00132A30"/>
    <w:rsid w:val="00132B28"/>
    <w:rsid w:val="00132D74"/>
    <w:rsid w:val="00132E7E"/>
    <w:rsid w:val="0013334C"/>
    <w:rsid w:val="0013344F"/>
    <w:rsid w:val="0013359C"/>
    <w:rsid w:val="001335B1"/>
    <w:rsid w:val="00133751"/>
    <w:rsid w:val="00133CA0"/>
    <w:rsid w:val="00133EBD"/>
    <w:rsid w:val="001345D5"/>
    <w:rsid w:val="001348C5"/>
    <w:rsid w:val="00135015"/>
    <w:rsid w:val="00135095"/>
    <w:rsid w:val="001352A6"/>
    <w:rsid w:val="00135829"/>
    <w:rsid w:val="001358A7"/>
    <w:rsid w:val="001358F4"/>
    <w:rsid w:val="00135F7B"/>
    <w:rsid w:val="0013612A"/>
    <w:rsid w:val="00136998"/>
    <w:rsid w:val="00136AAD"/>
    <w:rsid w:val="00136BA1"/>
    <w:rsid w:val="00136DF8"/>
    <w:rsid w:val="00137280"/>
    <w:rsid w:val="00137288"/>
    <w:rsid w:val="00137480"/>
    <w:rsid w:val="001376F7"/>
    <w:rsid w:val="001377C3"/>
    <w:rsid w:val="00137A97"/>
    <w:rsid w:val="00140608"/>
    <w:rsid w:val="0014067B"/>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92B"/>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7BF"/>
    <w:rsid w:val="00155F7A"/>
    <w:rsid w:val="00156260"/>
    <w:rsid w:val="0015674F"/>
    <w:rsid w:val="00157966"/>
    <w:rsid w:val="0016019C"/>
    <w:rsid w:val="00160674"/>
    <w:rsid w:val="00160786"/>
    <w:rsid w:val="0016079B"/>
    <w:rsid w:val="001617E7"/>
    <w:rsid w:val="001617FB"/>
    <w:rsid w:val="001618A3"/>
    <w:rsid w:val="00161F89"/>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678DC"/>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23"/>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0D"/>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2F96"/>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6EDA"/>
    <w:rsid w:val="001C70EF"/>
    <w:rsid w:val="001C715F"/>
    <w:rsid w:val="001C7185"/>
    <w:rsid w:val="001C7AB6"/>
    <w:rsid w:val="001C7D60"/>
    <w:rsid w:val="001C7F47"/>
    <w:rsid w:val="001D006C"/>
    <w:rsid w:val="001D0578"/>
    <w:rsid w:val="001D0593"/>
    <w:rsid w:val="001D1258"/>
    <w:rsid w:val="001D1265"/>
    <w:rsid w:val="001D13B0"/>
    <w:rsid w:val="001D15D4"/>
    <w:rsid w:val="001D19F8"/>
    <w:rsid w:val="001D1CFF"/>
    <w:rsid w:val="001D2B3C"/>
    <w:rsid w:val="001D2B9E"/>
    <w:rsid w:val="001D2BB2"/>
    <w:rsid w:val="001D2E5B"/>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CE8"/>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3F7F"/>
    <w:rsid w:val="001E4082"/>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110"/>
    <w:rsid w:val="0020020C"/>
    <w:rsid w:val="00200A92"/>
    <w:rsid w:val="00200BF9"/>
    <w:rsid w:val="002018D7"/>
    <w:rsid w:val="00201C7E"/>
    <w:rsid w:val="00201D85"/>
    <w:rsid w:val="00201E31"/>
    <w:rsid w:val="00202201"/>
    <w:rsid w:val="002024D0"/>
    <w:rsid w:val="002029C7"/>
    <w:rsid w:val="00202B8E"/>
    <w:rsid w:val="00202D2E"/>
    <w:rsid w:val="00203159"/>
    <w:rsid w:val="0020359C"/>
    <w:rsid w:val="00203A6E"/>
    <w:rsid w:val="00203F00"/>
    <w:rsid w:val="00203F5C"/>
    <w:rsid w:val="002043A4"/>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8E"/>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872"/>
    <w:rsid w:val="00240B75"/>
    <w:rsid w:val="00240B7D"/>
    <w:rsid w:val="00240F76"/>
    <w:rsid w:val="00240FA9"/>
    <w:rsid w:val="0024103F"/>
    <w:rsid w:val="002419AB"/>
    <w:rsid w:val="00241C7B"/>
    <w:rsid w:val="002421F2"/>
    <w:rsid w:val="0024224E"/>
    <w:rsid w:val="002427A8"/>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16F"/>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833"/>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61B"/>
    <w:rsid w:val="00271736"/>
    <w:rsid w:val="00271738"/>
    <w:rsid w:val="0027193C"/>
    <w:rsid w:val="00271B1E"/>
    <w:rsid w:val="00271EEF"/>
    <w:rsid w:val="002720F3"/>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7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6B"/>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2D52"/>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29"/>
    <w:rsid w:val="002A77C7"/>
    <w:rsid w:val="002A7A6A"/>
    <w:rsid w:val="002A7AB4"/>
    <w:rsid w:val="002A7B72"/>
    <w:rsid w:val="002B0740"/>
    <w:rsid w:val="002B07BF"/>
    <w:rsid w:val="002B0805"/>
    <w:rsid w:val="002B0C99"/>
    <w:rsid w:val="002B0EDA"/>
    <w:rsid w:val="002B10F9"/>
    <w:rsid w:val="002B112E"/>
    <w:rsid w:val="002B1216"/>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5EA"/>
    <w:rsid w:val="002C26B0"/>
    <w:rsid w:val="002C27F3"/>
    <w:rsid w:val="002C29D0"/>
    <w:rsid w:val="002C2E8A"/>
    <w:rsid w:val="002C2FCD"/>
    <w:rsid w:val="002C36D3"/>
    <w:rsid w:val="002C3AE4"/>
    <w:rsid w:val="002C3B99"/>
    <w:rsid w:val="002C3C99"/>
    <w:rsid w:val="002C3E89"/>
    <w:rsid w:val="002C4110"/>
    <w:rsid w:val="002C44DB"/>
    <w:rsid w:val="002C453F"/>
    <w:rsid w:val="002C47BD"/>
    <w:rsid w:val="002C48CE"/>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060"/>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6BB"/>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ED1"/>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3E1B"/>
    <w:rsid w:val="003141C2"/>
    <w:rsid w:val="00314629"/>
    <w:rsid w:val="00314914"/>
    <w:rsid w:val="00314DA7"/>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700"/>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7B6"/>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76"/>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2"/>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2B"/>
    <w:rsid w:val="003802B0"/>
    <w:rsid w:val="0038084F"/>
    <w:rsid w:val="00380892"/>
    <w:rsid w:val="00380AE2"/>
    <w:rsid w:val="00380C72"/>
    <w:rsid w:val="00381576"/>
    <w:rsid w:val="00381685"/>
    <w:rsid w:val="003821E7"/>
    <w:rsid w:val="0038232C"/>
    <w:rsid w:val="003824F4"/>
    <w:rsid w:val="00382901"/>
    <w:rsid w:val="00382903"/>
    <w:rsid w:val="00383246"/>
    <w:rsid w:val="00383388"/>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41E"/>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ACD"/>
    <w:rsid w:val="00392DB8"/>
    <w:rsid w:val="00393B78"/>
    <w:rsid w:val="003940DD"/>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5E6"/>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AD7"/>
    <w:rsid w:val="003A1DD5"/>
    <w:rsid w:val="003A1F99"/>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0C"/>
    <w:rsid w:val="003C1CFF"/>
    <w:rsid w:val="003C1EC9"/>
    <w:rsid w:val="003C226A"/>
    <w:rsid w:val="003C228C"/>
    <w:rsid w:val="003C270B"/>
    <w:rsid w:val="003C2748"/>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2F6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794"/>
    <w:rsid w:val="003E187F"/>
    <w:rsid w:val="003E18AD"/>
    <w:rsid w:val="003E19B9"/>
    <w:rsid w:val="003E1CF4"/>
    <w:rsid w:val="003E240A"/>
    <w:rsid w:val="003E2BF4"/>
    <w:rsid w:val="003E2CCC"/>
    <w:rsid w:val="003E2EB5"/>
    <w:rsid w:val="003E34E1"/>
    <w:rsid w:val="003E3524"/>
    <w:rsid w:val="003E3716"/>
    <w:rsid w:val="003E3C5B"/>
    <w:rsid w:val="003E3D11"/>
    <w:rsid w:val="003E3EA7"/>
    <w:rsid w:val="003E40C9"/>
    <w:rsid w:val="003E4155"/>
    <w:rsid w:val="003E4241"/>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07"/>
    <w:rsid w:val="004024AB"/>
    <w:rsid w:val="00402F2C"/>
    <w:rsid w:val="0040303D"/>
    <w:rsid w:val="0040322B"/>
    <w:rsid w:val="004032B9"/>
    <w:rsid w:val="004033DA"/>
    <w:rsid w:val="0040379F"/>
    <w:rsid w:val="00403805"/>
    <w:rsid w:val="00403824"/>
    <w:rsid w:val="00403982"/>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774"/>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D06"/>
    <w:rsid w:val="00454F01"/>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EE2"/>
    <w:rsid w:val="00473F1D"/>
    <w:rsid w:val="00473F5F"/>
    <w:rsid w:val="0047410D"/>
    <w:rsid w:val="00474144"/>
    <w:rsid w:val="00474A1E"/>
    <w:rsid w:val="00474D02"/>
    <w:rsid w:val="00474FB4"/>
    <w:rsid w:val="0047510A"/>
    <w:rsid w:val="00475131"/>
    <w:rsid w:val="00475260"/>
    <w:rsid w:val="004755D5"/>
    <w:rsid w:val="0047574D"/>
    <w:rsid w:val="00475A1B"/>
    <w:rsid w:val="00475D3E"/>
    <w:rsid w:val="00475E50"/>
    <w:rsid w:val="00475F90"/>
    <w:rsid w:val="004768BD"/>
    <w:rsid w:val="00476AB6"/>
    <w:rsid w:val="00476D8B"/>
    <w:rsid w:val="00476EAE"/>
    <w:rsid w:val="00476FC4"/>
    <w:rsid w:val="004770B0"/>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D7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27"/>
    <w:rsid w:val="004862DE"/>
    <w:rsid w:val="00486C90"/>
    <w:rsid w:val="00486CF2"/>
    <w:rsid w:val="00486EC5"/>
    <w:rsid w:val="00487056"/>
    <w:rsid w:val="00487442"/>
    <w:rsid w:val="004877EB"/>
    <w:rsid w:val="00487BB8"/>
    <w:rsid w:val="00487E55"/>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5C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424"/>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58C"/>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5EE"/>
    <w:rsid w:val="004B58CA"/>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191"/>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7F3"/>
    <w:rsid w:val="004D2BFC"/>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2B46"/>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86A"/>
    <w:rsid w:val="0052001B"/>
    <w:rsid w:val="005205C8"/>
    <w:rsid w:val="005205D5"/>
    <w:rsid w:val="00521D65"/>
    <w:rsid w:val="005221A4"/>
    <w:rsid w:val="005227EA"/>
    <w:rsid w:val="00523366"/>
    <w:rsid w:val="00523E18"/>
    <w:rsid w:val="00523F32"/>
    <w:rsid w:val="0052408A"/>
    <w:rsid w:val="00524161"/>
    <w:rsid w:val="0052422C"/>
    <w:rsid w:val="005244D5"/>
    <w:rsid w:val="005245A9"/>
    <w:rsid w:val="005248C4"/>
    <w:rsid w:val="00524AD1"/>
    <w:rsid w:val="00524B43"/>
    <w:rsid w:val="00524D2A"/>
    <w:rsid w:val="00524E6A"/>
    <w:rsid w:val="005251DA"/>
    <w:rsid w:val="00525407"/>
    <w:rsid w:val="00525932"/>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61"/>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7E4"/>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592"/>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1B3"/>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56C"/>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B80"/>
    <w:rsid w:val="005A6FA1"/>
    <w:rsid w:val="005A76BA"/>
    <w:rsid w:val="005A7F72"/>
    <w:rsid w:val="005B0604"/>
    <w:rsid w:val="005B1C68"/>
    <w:rsid w:val="005B1F54"/>
    <w:rsid w:val="005B2B0A"/>
    <w:rsid w:val="005B2B68"/>
    <w:rsid w:val="005B2D4D"/>
    <w:rsid w:val="005B2EB8"/>
    <w:rsid w:val="005B321E"/>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57F"/>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DB3"/>
    <w:rsid w:val="005D5E46"/>
    <w:rsid w:val="005D609E"/>
    <w:rsid w:val="005D610E"/>
    <w:rsid w:val="005D64A5"/>
    <w:rsid w:val="005D6929"/>
    <w:rsid w:val="005D6B30"/>
    <w:rsid w:val="005D6BA3"/>
    <w:rsid w:val="005D6E1C"/>
    <w:rsid w:val="005D73CA"/>
    <w:rsid w:val="005D7631"/>
    <w:rsid w:val="005D7741"/>
    <w:rsid w:val="005D7E04"/>
    <w:rsid w:val="005E0082"/>
    <w:rsid w:val="005E0128"/>
    <w:rsid w:val="005E02D6"/>
    <w:rsid w:val="005E11F9"/>
    <w:rsid w:val="005E1385"/>
    <w:rsid w:val="005E1393"/>
    <w:rsid w:val="005E15A4"/>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A1C"/>
    <w:rsid w:val="005F509E"/>
    <w:rsid w:val="005F51DA"/>
    <w:rsid w:val="005F54E0"/>
    <w:rsid w:val="005F5969"/>
    <w:rsid w:val="005F660A"/>
    <w:rsid w:val="005F6697"/>
    <w:rsid w:val="005F6C51"/>
    <w:rsid w:val="005F6F9C"/>
    <w:rsid w:val="005F6FFC"/>
    <w:rsid w:val="005F7504"/>
    <w:rsid w:val="005F7F11"/>
    <w:rsid w:val="00600436"/>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0D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CF1"/>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581"/>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6C"/>
    <w:rsid w:val="00650EB8"/>
    <w:rsid w:val="00650F7C"/>
    <w:rsid w:val="00650FBE"/>
    <w:rsid w:val="006513D5"/>
    <w:rsid w:val="006518B1"/>
    <w:rsid w:val="00651AD0"/>
    <w:rsid w:val="00651AD3"/>
    <w:rsid w:val="00651FA0"/>
    <w:rsid w:val="006527A3"/>
    <w:rsid w:val="006529BA"/>
    <w:rsid w:val="006529CE"/>
    <w:rsid w:val="00652BB4"/>
    <w:rsid w:val="006530FC"/>
    <w:rsid w:val="00653273"/>
    <w:rsid w:val="00653365"/>
    <w:rsid w:val="0065373E"/>
    <w:rsid w:val="00653748"/>
    <w:rsid w:val="006539B5"/>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D8F"/>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DD2"/>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37"/>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CA8"/>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2B2"/>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5FC"/>
    <w:rsid w:val="006C1B3F"/>
    <w:rsid w:val="006C1D3E"/>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A7"/>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067"/>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0FB7"/>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4C3"/>
    <w:rsid w:val="006F291E"/>
    <w:rsid w:val="006F2ADA"/>
    <w:rsid w:val="006F2E21"/>
    <w:rsid w:val="006F3052"/>
    <w:rsid w:val="006F314D"/>
    <w:rsid w:val="006F31A7"/>
    <w:rsid w:val="006F3738"/>
    <w:rsid w:val="006F3B01"/>
    <w:rsid w:val="006F3BDF"/>
    <w:rsid w:val="006F4072"/>
    <w:rsid w:val="006F407D"/>
    <w:rsid w:val="006F4145"/>
    <w:rsid w:val="006F4189"/>
    <w:rsid w:val="006F4862"/>
    <w:rsid w:val="006F4A19"/>
    <w:rsid w:val="006F4B0E"/>
    <w:rsid w:val="006F4C7E"/>
    <w:rsid w:val="006F4D51"/>
    <w:rsid w:val="006F4E88"/>
    <w:rsid w:val="006F557B"/>
    <w:rsid w:val="006F59CD"/>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FC4"/>
    <w:rsid w:val="007110FE"/>
    <w:rsid w:val="00711139"/>
    <w:rsid w:val="0071134C"/>
    <w:rsid w:val="00711760"/>
    <w:rsid w:val="0071196B"/>
    <w:rsid w:val="00711A0F"/>
    <w:rsid w:val="00711AE4"/>
    <w:rsid w:val="00711D10"/>
    <w:rsid w:val="00711D73"/>
    <w:rsid w:val="00711E0C"/>
    <w:rsid w:val="00712A0F"/>
    <w:rsid w:val="00712FDB"/>
    <w:rsid w:val="00713148"/>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243"/>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0B"/>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2E7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5F"/>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581"/>
    <w:rsid w:val="00747BD8"/>
    <w:rsid w:val="00747CDD"/>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AEA"/>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D1"/>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A31"/>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033"/>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4CB7"/>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3B4"/>
    <w:rsid w:val="007D357E"/>
    <w:rsid w:val="007D3889"/>
    <w:rsid w:val="007D39A2"/>
    <w:rsid w:val="007D39D7"/>
    <w:rsid w:val="007D3F34"/>
    <w:rsid w:val="007D4146"/>
    <w:rsid w:val="007D42FB"/>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3D"/>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625"/>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61A"/>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69"/>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83"/>
    <w:rsid w:val="00816A54"/>
    <w:rsid w:val="00816D94"/>
    <w:rsid w:val="00817508"/>
    <w:rsid w:val="00817636"/>
    <w:rsid w:val="0081787C"/>
    <w:rsid w:val="00817B8F"/>
    <w:rsid w:val="00817C96"/>
    <w:rsid w:val="00817D2A"/>
    <w:rsid w:val="00817F27"/>
    <w:rsid w:val="00820DF1"/>
    <w:rsid w:val="00820FE8"/>
    <w:rsid w:val="00821036"/>
    <w:rsid w:val="0082172C"/>
    <w:rsid w:val="008225A2"/>
    <w:rsid w:val="00822FF9"/>
    <w:rsid w:val="00823335"/>
    <w:rsid w:val="008234E1"/>
    <w:rsid w:val="008237B2"/>
    <w:rsid w:val="00823D4A"/>
    <w:rsid w:val="00823F61"/>
    <w:rsid w:val="0082449E"/>
    <w:rsid w:val="0082453A"/>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40D"/>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6CE"/>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7EC"/>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5E3"/>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9C3"/>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B7C10"/>
    <w:rsid w:val="008C04BA"/>
    <w:rsid w:val="008C0FB9"/>
    <w:rsid w:val="008C2426"/>
    <w:rsid w:val="008C2453"/>
    <w:rsid w:val="008C26B4"/>
    <w:rsid w:val="008C28BA"/>
    <w:rsid w:val="008C3240"/>
    <w:rsid w:val="008C3519"/>
    <w:rsid w:val="008C3796"/>
    <w:rsid w:val="008C380A"/>
    <w:rsid w:val="008C39F9"/>
    <w:rsid w:val="008C4188"/>
    <w:rsid w:val="008C450A"/>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6E3"/>
    <w:rsid w:val="008E6718"/>
    <w:rsid w:val="008E6788"/>
    <w:rsid w:val="008E7DB3"/>
    <w:rsid w:val="008F01AB"/>
    <w:rsid w:val="008F041F"/>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AC6"/>
    <w:rsid w:val="008F6CD0"/>
    <w:rsid w:val="008F6CD1"/>
    <w:rsid w:val="008F6F8A"/>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21E"/>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5C6"/>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4FFA"/>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C24"/>
    <w:rsid w:val="00940D85"/>
    <w:rsid w:val="00940DF4"/>
    <w:rsid w:val="00940F45"/>
    <w:rsid w:val="00940FB5"/>
    <w:rsid w:val="0094148B"/>
    <w:rsid w:val="00941A1C"/>
    <w:rsid w:val="00941B97"/>
    <w:rsid w:val="00941CE1"/>
    <w:rsid w:val="00941E13"/>
    <w:rsid w:val="00942BB8"/>
    <w:rsid w:val="00942CDF"/>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45"/>
    <w:rsid w:val="009672BC"/>
    <w:rsid w:val="0096766C"/>
    <w:rsid w:val="00967851"/>
    <w:rsid w:val="00967B67"/>
    <w:rsid w:val="00967D2D"/>
    <w:rsid w:val="00967D7D"/>
    <w:rsid w:val="00970142"/>
    <w:rsid w:val="00970872"/>
    <w:rsid w:val="00970F7A"/>
    <w:rsid w:val="00970FE3"/>
    <w:rsid w:val="0097115F"/>
    <w:rsid w:val="00971190"/>
    <w:rsid w:val="009712FC"/>
    <w:rsid w:val="009718F0"/>
    <w:rsid w:val="00971EC5"/>
    <w:rsid w:val="00971F6B"/>
    <w:rsid w:val="00971FCC"/>
    <w:rsid w:val="0097298A"/>
    <w:rsid w:val="009729BB"/>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A86"/>
    <w:rsid w:val="009761A9"/>
    <w:rsid w:val="00976E81"/>
    <w:rsid w:val="00977311"/>
    <w:rsid w:val="009775C2"/>
    <w:rsid w:val="00977852"/>
    <w:rsid w:val="009778AB"/>
    <w:rsid w:val="00977B50"/>
    <w:rsid w:val="00980403"/>
    <w:rsid w:val="009804CB"/>
    <w:rsid w:val="009805FD"/>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455"/>
    <w:rsid w:val="009875FB"/>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3F5A"/>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53"/>
    <w:rsid w:val="0099731A"/>
    <w:rsid w:val="009979D6"/>
    <w:rsid w:val="00997CA3"/>
    <w:rsid w:val="00997DCB"/>
    <w:rsid w:val="00997F8A"/>
    <w:rsid w:val="009A0212"/>
    <w:rsid w:val="009A031F"/>
    <w:rsid w:val="009A041C"/>
    <w:rsid w:val="009A046E"/>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767"/>
    <w:rsid w:val="009A78D1"/>
    <w:rsid w:val="009A7A56"/>
    <w:rsid w:val="009B003C"/>
    <w:rsid w:val="009B0097"/>
    <w:rsid w:val="009B0D09"/>
    <w:rsid w:val="009B0D80"/>
    <w:rsid w:val="009B1758"/>
    <w:rsid w:val="009B1B81"/>
    <w:rsid w:val="009B1DFF"/>
    <w:rsid w:val="009B22E9"/>
    <w:rsid w:val="009B2353"/>
    <w:rsid w:val="009B2A4A"/>
    <w:rsid w:val="009B2B98"/>
    <w:rsid w:val="009B311C"/>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13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4FF7"/>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A9F"/>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C48"/>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07B"/>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02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21"/>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1C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CC0"/>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88A"/>
    <w:rsid w:val="00A9692B"/>
    <w:rsid w:val="00A96D7E"/>
    <w:rsid w:val="00A971EC"/>
    <w:rsid w:val="00A9727C"/>
    <w:rsid w:val="00A97666"/>
    <w:rsid w:val="00A97835"/>
    <w:rsid w:val="00A97B8C"/>
    <w:rsid w:val="00A97E7B"/>
    <w:rsid w:val="00AA0003"/>
    <w:rsid w:val="00AA0A0B"/>
    <w:rsid w:val="00AA0D6B"/>
    <w:rsid w:val="00AA0ECE"/>
    <w:rsid w:val="00AA11C7"/>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62E"/>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B7A30"/>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215"/>
    <w:rsid w:val="00AC5388"/>
    <w:rsid w:val="00AC5A3B"/>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2EE0"/>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A50"/>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77"/>
    <w:rsid w:val="00AF28B0"/>
    <w:rsid w:val="00AF2DED"/>
    <w:rsid w:val="00AF375F"/>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FF4"/>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B35"/>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962"/>
    <w:rsid w:val="00B15A0F"/>
    <w:rsid w:val="00B16562"/>
    <w:rsid w:val="00B166E8"/>
    <w:rsid w:val="00B167A6"/>
    <w:rsid w:val="00B16B5F"/>
    <w:rsid w:val="00B1736C"/>
    <w:rsid w:val="00B17435"/>
    <w:rsid w:val="00B17744"/>
    <w:rsid w:val="00B17F12"/>
    <w:rsid w:val="00B20057"/>
    <w:rsid w:val="00B20383"/>
    <w:rsid w:val="00B2043A"/>
    <w:rsid w:val="00B20E2B"/>
    <w:rsid w:val="00B21016"/>
    <w:rsid w:val="00B21130"/>
    <w:rsid w:val="00B215F9"/>
    <w:rsid w:val="00B217E4"/>
    <w:rsid w:val="00B21A49"/>
    <w:rsid w:val="00B21C15"/>
    <w:rsid w:val="00B21CA7"/>
    <w:rsid w:val="00B21D72"/>
    <w:rsid w:val="00B21D85"/>
    <w:rsid w:val="00B21DF9"/>
    <w:rsid w:val="00B2251A"/>
    <w:rsid w:val="00B233A9"/>
    <w:rsid w:val="00B239CC"/>
    <w:rsid w:val="00B23E08"/>
    <w:rsid w:val="00B2472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76"/>
    <w:rsid w:val="00B35CB3"/>
    <w:rsid w:val="00B35DF7"/>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53A"/>
    <w:rsid w:val="00B50D6B"/>
    <w:rsid w:val="00B51224"/>
    <w:rsid w:val="00B51258"/>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1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208"/>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B5"/>
    <w:rsid w:val="00B71A24"/>
    <w:rsid w:val="00B71A5D"/>
    <w:rsid w:val="00B71E26"/>
    <w:rsid w:val="00B71E40"/>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12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6D"/>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B7E"/>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EC"/>
    <w:rsid w:val="00BA48E0"/>
    <w:rsid w:val="00BA4C24"/>
    <w:rsid w:val="00BA4E10"/>
    <w:rsid w:val="00BA4E68"/>
    <w:rsid w:val="00BA5346"/>
    <w:rsid w:val="00BA54FB"/>
    <w:rsid w:val="00BA57E9"/>
    <w:rsid w:val="00BA580D"/>
    <w:rsid w:val="00BA5880"/>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376"/>
    <w:rsid w:val="00BB4A42"/>
    <w:rsid w:val="00BB4D0D"/>
    <w:rsid w:val="00BB50E4"/>
    <w:rsid w:val="00BB5321"/>
    <w:rsid w:val="00BB56F2"/>
    <w:rsid w:val="00BB56F3"/>
    <w:rsid w:val="00BB5A70"/>
    <w:rsid w:val="00BB5C6E"/>
    <w:rsid w:val="00BB5DD1"/>
    <w:rsid w:val="00BB5F35"/>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1A7"/>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547"/>
    <w:rsid w:val="00BD689C"/>
    <w:rsid w:val="00BD6A22"/>
    <w:rsid w:val="00BD6D88"/>
    <w:rsid w:val="00BD72C8"/>
    <w:rsid w:val="00BD78FA"/>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1B5"/>
    <w:rsid w:val="00C023FA"/>
    <w:rsid w:val="00C02B71"/>
    <w:rsid w:val="00C02CDE"/>
    <w:rsid w:val="00C0350D"/>
    <w:rsid w:val="00C039B6"/>
    <w:rsid w:val="00C03B7B"/>
    <w:rsid w:val="00C04591"/>
    <w:rsid w:val="00C04838"/>
    <w:rsid w:val="00C04B83"/>
    <w:rsid w:val="00C057E0"/>
    <w:rsid w:val="00C05863"/>
    <w:rsid w:val="00C05C20"/>
    <w:rsid w:val="00C06066"/>
    <w:rsid w:val="00C0621D"/>
    <w:rsid w:val="00C0648A"/>
    <w:rsid w:val="00C06690"/>
    <w:rsid w:val="00C067A4"/>
    <w:rsid w:val="00C06BE9"/>
    <w:rsid w:val="00C06D45"/>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35"/>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AD3"/>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5F7"/>
    <w:rsid w:val="00C7238B"/>
    <w:rsid w:val="00C723AF"/>
    <w:rsid w:val="00C723F3"/>
    <w:rsid w:val="00C72953"/>
    <w:rsid w:val="00C72EF5"/>
    <w:rsid w:val="00C72FD0"/>
    <w:rsid w:val="00C732C5"/>
    <w:rsid w:val="00C7357D"/>
    <w:rsid w:val="00C73F77"/>
    <w:rsid w:val="00C740FD"/>
    <w:rsid w:val="00C74157"/>
    <w:rsid w:val="00C7448E"/>
    <w:rsid w:val="00C748E2"/>
    <w:rsid w:val="00C74EB4"/>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4AD5"/>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101"/>
    <w:rsid w:val="00CA7202"/>
    <w:rsid w:val="00CA73B2"/>
    <w:rsid w:val="00CA74E8"/>
    <w:rsid w:val="00CA7680"/>
    <w:rsid w:val="00CB006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25"/>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4AD5"/>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432"/>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940"/>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7FB"/>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920"/>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6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60A"/>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0F8"/>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0E9"/>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6FE"/>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E6"/>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0C81"/>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548"/>
    <w:rsid w:val="00DC4B72"/>
    <w:rsid w:val="00DC4C59"/>
    <w:rsid w:val="00DC4D82"/>
    <w:rsid w:val="00DC4E9C"/>
    <w:rsid w:val="00DC522F"/>
    <w:rsid w:val="00DC588E"/>
    <w:rsid w:val="00DC5E1F"/>
    <w:rsid w:val="00DC65D8"/>
    <w:rsid w:val="00DC693B"/>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2FD1"/>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2C8"/>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D72"/>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1F02"/>
    <w:rsid w:val="00E52017"/>
    <w:rsid w:val="00E52937"/>
    <w:rsid w:val="00E52CCE"/>
    <w:rsid w:val="00E52DCB"/>
    <w:rsid w:val="00E52F76"/>
    <w:rsid w:val="00E5315C"/>
    <w:rsid w:val="00E538E0"/>
    <w:rsid w:val="00E53EAE"/>
    <w:rsid w:val="00E548A8"/>
    <w:rsid w:val="00E54C37"/>
    <w:rsid w:val="00E54CA0"/>
    <w:rsid w:val="00E54D33"/>
    <w:rsid w:val="00E556A3"/>
    <w:rsid w:val="00E55B04"/>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8D7"/>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1F"/>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4CD"/>
    <w:rsid w:val="00E85796"/>
    <w:rsid w:val="00E859CA"/>
    <w:rsid w:val="00E85DD1"/>
    <w:rsid w:val="00E86057"/>
    <w:rsid w:val="00E861F7"/>
    <w:rsid w:val="00E864B0"/>
    <w:rsid w:val="00E86647"/>
    <w:rsid w:val="00E86BA9"/>
    <w:rsid w:val="00E86DBF"/>
    <w:rsid w:val="00E86DEA"/>
    <w:rsid w:val="00E87343"/>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3D5"/>
    <w:rsid w:val="00E9346A"/>
    <w:rsid w:val="00E9353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F93"/>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6FBD"/>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DA"/>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A92"/>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02"/>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B24"/>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28"/>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1D"/>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9C9"/>
    <w:rsid w:val="00F05EED"/>
    <w:rsid w:val="00F06962"/>
    <w:rsid w:val="00F06C83"/>
    <w:rsid w:val="00F06D91"/>
    <w:rsid w:val="00F06F02"/>
    <w:rsid w:val="00F07524"/>
    <w:rsid w:val="00F103AB"/>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3B2"/>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EE9"/>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C5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07FF"/>
    <w:rsid w:val="00F4125D"/>
    <w:rsid w:val="00F42599"/>
    <w:rsid w:val="00F42807"/>
    <w:rsid w:val="00F42910"/>
    <w:rsid w:val="00F42C2B"/>
    <w:rsid w:val="00F43068"/>
    <w:rsid w:val="00F439C5"/>
    <w:rsid w:val="00F44833"/>
    <w:rsid w:val="00F44D3A"/>
    <w:rsid w:val="00F452E7"/>
    <w:rsid w:val="00F465C1"/>
    <w:rsid w:val="00F4678D"/>
    <w:rsid w:val="00F467B0"/>
    <w:rsid w:val="00F468C9"/>
    <w:rsid w:val="00F46E40"/>
    <w:rsid w:val="00F46F8B"/>
    <w:rsid w:val="00F47132"/>
    <w:rsid w:val="00F472DF"/>
    <w:rsid w:val="00F4759D"/>
    <w:rsid w:val="00F47728"/>
    <w:rsid w:val="00F47AB9"/>
    <w:rsid w:val="00F47AFE"/>
    <w:rsid w:val="00F47CBA"/>
    <w:rsid w:val="00F47E8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CB"/>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79D"/>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681"/>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7A4"/>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BA"/>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E2"/>
    <w:rsid w:val="00FC22FE"/>
    <w:rsid w:val="00FC23FA"/>
    <w:rsid w:val="00FC25D7"/>
    <w:rsid w:val="00FC2742"/>
    <w:rsid w:val="00FC2EED"/>
    <w:rsid w:val="00FC330F"/>
    <w:rsid w:val="00FC37F0"/>
    <w:rsid w:val="00FC3934"/>
    <w:rsid w:val="00FC3BBC"/>
    <w:rsid w:val="00FC3EEB"/>
    <w:rsid w:val="00FC4278"/>
    <w:rsid w:val="00FC4423"/>
    <w:rsid w:val="00FC47D1"/>
    <w:rsid w:val="00FC4850"/>
    <w:rsid w:val="00FC4993"/>
    <w:rsid w:val="00FC4CA4"/>
    <w:rsid w:val="00FC4DD6"/>
    <w:rsid w:val="00FC545C"/>
    <w:rsid w:val="00FC553E"/>
    <w:rsid w:val="00FC5AB2"/>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8D"/>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6FBA"/>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3D8"/>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6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Equa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57233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419785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FFF1FA-2C43-47FD-8EB0-D64730051E3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FB674DA5-FE85-4480-B736-5A6EF693F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2889</Words>
  <Characters>16469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19320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2021-08-03T16:55:00Z</dcterms:created>
  <dcterms:modified xsi:type="dcterms:W3CDTF">2021-08-03T20:15:00Z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